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8432E" w14:textId="53793C83" w:rsidR="007E03ED" w:rsidRPr="00F542A0" w:rsidRDefault="007E03ED" w:rsidP="007E03ED">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6</w:t>
      </w:r>
      <w:r w:rsidRPr="00F542A0">
        <w:rPr>
          <w:rFonts w:eastAsia="SimSun" w:cs="Arial"/>
          <w:sz w:val="24"/>
          <w:szCs w:val="24"/>
        </w:rPr>
        <w:tab/>
      </w:r>
      <w:r w:rsidR="00D0450F" w:rsidRPr="00D0450F">
        <w:rPr>
          <w:rFonts w:eastAsia="SimSun" w:cs="Arial"/>
          <w:sz w:val="24"/>
          <w:szCs w:val="24"/>
        </w:rPr>
        <w:t>R4-2509494</w:t>
      </w:r>
    </w:p>
    <w:p w14:paraId="5B0633AB" w14:textId="77777777" w:rsidR="007E03ED" w:rsidRPr="00F542A0" w:rsidRDefault="007E03ED" w:rsidP="007E03ED">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Bengaluru, India, August 25</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9</w:t>
      </w:r>
      <w:r>
        <w:rPr>
          <w:rFonts w:eastAsia="SimSun" w:cs="Arial"/>
          <w:sz w:val="24"/>
          <w:szCs w:val="24"/>
          <w:vertAlign w:val="superscript"/>
        </w:rPr>
        <w:t>th</w:t>
      </w:r>
      <w:r w:rsidRPr="00F542A0">
        <w:rPr>
          <w:rFonts w:eastAsia="SimSun" w:cs="Arial"/>
          <w:sz w:val="24"/>
          <w:szCs w:val="24"/>
        </w:rPr>
        <w:t>, 2025</w:t>
      </w:r>
    </w:p>
    <w:p w14:paraId="23B9EC32" w14:textId="77777777" w:rsidR="006D1F2A" w:rsidRDefault="006D1F2A" w:rsidP="006D1F2A">
      <w:pPr>
        <w:tabs>
          <w:tab w:val="left" w:pos="1985"/>
        </w:tabs>
        <w:spacing w:after="120"/>
        <w:jc w:val="both"/>
        <w:rPr>
          <w:rFonts w:ascii="Arial" w:hAnsi="Arial" w:cs="Arial"/>
          <w:b/>
          <w:sz w:val="22"/>
          <w:szCs w:val="22"/>
        </w:rPr>
      </w:pPr>
    </w:p>
    <w:p w14:paraId="2EA70C06" w14:textId="62E9FE09" w:rsidR="006D1F2A" w:rsidRPr="00DE2285" w:rsidRDefault="006D1F2A" w:rsidP="006D1F2A">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t>5.</w:t>
      </w:r>
      <w:r w:rsidR="001D1352">
        <w:rPr>
          <w:rFonts w:ascii="Arial" w:hAnsi="Arial" w:cs="Arial"/>
          <w:b/>
          <w:sz w:val="22"/>
          <w:szCs w:val="22"/>
        </w:rPr>
        <w:t>17</w:t>
      </w:r>
      <w:r>
        <w:rPr>
          <w:rFonts w:ascii="Arial" w:hAnsi="Arial" w:cs="Arial"/>
          <w:b/>
          <w:sz w:val="22"/>
          <w:szCs w:val="22"/>
        </w:rPr>
        <w:t>.</w:t>
      </w:r>
      <w:r w:rsidR="001D1352">
        <w:rPr>
          <w:rFonts w:ascii="Arial" w:hAnsi="Arial" w:cs="Arial"/>
          <w:b/>
          <w:sz w:val="22"/>
          <w:szCs w:val="22"/>
        </w:rPr>
        <w:t>2</w:t>
      </w:r>
    </w:p>
    <w:p w14:paraId="598519CF" w14:textId="77777777" w:rsidR="006D1F2A" w:rsidRPr="0031288E" w:rsidRDefault="006D1F2A" w:rsidP="006D1F2A">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623BF14D" w14:textId="1A443C2A" w:rsidR="006D1F2A" w:rsidRPr="00662C95" w:rsidRDefault="006D1F2A" w:rsidP="006D1F2A">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Pr="0074145B">
        <w:rPr>
          <w:rFonts w:ascii="Arial" w:hAnsi="Arial" w:cs="Arial"/>
          <w:b/>
          <w:sz w:val="22"/>
          <w:szCs w:val="22"/>
        </w:rPr>
        <w:t>On R18 NTN RRM core</w:t>
      </w:r>
      <w:r w:rsidR="00411F08">
        <w:rPr>
          <w:rFonts w:ascii="Arial" w:hAnsi="Arial" w:cs="Arial"/>
          <w:b/>
          <w:sz w:val="22"/>
          <w:szCs w:val="22"/>
        </w:rPr>
        <w:t xml:space="preserve"> and performance</w:t>
      </w:r>
      <w:r w:rsidRPr="0074145B">
        <w:rPr>
          <w:rFonts w:ascii="Arial" w:hAnsi="Arial" w:cs="Arial"/>
          <w:b/>
          <w:sz w:val="22"/>
          <w:szCs w:val="22"/>
        </w:rPr>
        <w:t xml:space="preserve"> requirement</w:t>
      </w:r>
      <w:r w:rsidR="00411F08">
        <w:rPr>
          <w:rFonts w:ascii="Arial" w:hAnsi="Arial" w:cs="Arial"/>
          <w:b/>
          <w:sz w:val="22"/>
          <w:szCs w:val="22"/>
        </w:rPr>
        <w:t xml:space="preserve"> maintenance</w:t>
      </w:r>
    </w:p>
    <w:p w14:paraId="30A50A10" w14:textId="77777777" w:rsidR="006D1F2A" w:rsidRPr="0031288E" w:rsidRDefault="006D1F2A" w:rsidP="006D1F2A">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5F52D70E" w:rsidR="00A74337" w:rsidRDefault="00756606" w:rsidP="00B324AA">
      <w:pPr>
        <w:spacing w:after="120"/>
        <w:jc w:val="both"/>
      </w:pPr>
      <w:r>
        <w:t>In last RAN4#</w:t>
      </w:r>
      <w:r w:rsidR="007A1616">
        <w:t>11</w:t>
      </w:r>
      <w:r w:rsidR="009D48C3">
        <w:t>5</w:t>
      </w:r>
      <w:r>
        <w:t xml:space="preserve"> meeting, moderator has captured all open issues in the topic summary [</w:t>
      </w:r>
      <w:r w:rsidR="005E7A6E">
        <w:t>1</w:t>
      </w:r>
      <w:r>
        <w:t>]</w:t>
      </w:r>
      <w:r>
        <w:rPr>
          <w:rFonts w:hint="eastAsia"/>
        </w:rPr>
        <w:t>.</w:t>
      </w:r>
      <w:r>
        <w:t xml:space="preserve"> There are still some opens issues for further discussion, and in this contribution, we continue the discussion on remaining </w:t>
      </w:r>
      <w:r w:rsidRPr="001B48E0">
        <w:t xml:space="preserve">RRM requirements for </w:t>
      </w:r>
      <w:r>
        <w:t>eNTN.</w:t>
      </w:r>
    </w:p>
    <w:tbl>
      <w:tblPr>
        <w:tblStyle w:val="TableGrid"/>
        <w:tblW w:w="0" w:type="auto"/>
        <w:tblLook w:val="04A0" w:firstRow="1" w:lastRow="0" w:firstColumn="1" w:lastColumn="0" w:noHBand="0" w:noVBand="1"/>
      </w:tblPr>
      <w:tblGrid>
        <w:gridCol w:w="9730"/>
      </w:tblGrid>
      <w:tr w:rsidR="004D2E1C" w14:paraId="2544D0D6" w14:textId="77777777" w:rsidTr="004D2E1C">
        <w:tc>
          <w:tcPr>
            <w:tcW w:w="9730" w:type="dxa"/>
          </w:tcPr>
          <w:p w14:paraId="50BF2935" w14:textId="77777777" w:rsidR="004D2E1C" w:rsidRDefault="004D2E1C" w:rsidP="004D2E1C">
            <w:pPr>
              <w:snapToGrid w:val="0"/>
              <w:spacing w:after="0"/>
              <w:jc w:val="both"/>
              <w:rPr>
                <w:b/>
                <w:bCs/>
                <w:color w:val="000000"/>
                <w:sz w:val="21"/>
                <w:szCs w:val="21"/>
                <w:u w:val="single"/>
              </w:rPr>
            </w:pPr>
            <w:r>
              <w:rPr>
                <w:b/>
                <w:bCs/>
                <w:color w:val="000000"/>
                <w:sz w:val="21"/>
                <w:szCs w:val="21"/>
                <w:u w:val="single"/>
              </w:rPr>
              <w:t>Topic #2: NR NTN enhancement</w:t>
            </w:r>
          </w:p>
          <w:p w14:paraId="509CC78B" w14:textId="77777777" w:rsidR="004D2E1C" w:rsidRDefault="004D2E1C" w:rsidP="004D2E1C">
            <w:pPr>
              <w:snapToGrid w:val="0"/>
              <w:spacing w:after="0"/>
              <w:jc w:val="both"/>
              <w:rPr>
                <w:bCs/>
                <w:color w:val="000000"/>
                <w:sz w:val="21"/>
                <w:szCs w:val="21"/>
              </w:rPr>
            </w:pPr>
            <w:r>
              <w:rPr>
                <w:bCs/>
                <w:color w:val="000000"/>
                <w:sz w:val="21"/>
                <w:szCs w:val="21"/>
              </w:rPr>
              <w:t>Proposal 1: to reflect “when to start DL synchronization between t-serviceStart and t-Service is up to UE implementation”, extra clarification is needed for existing soft satellite switching latency requirement. Either of the following alternatives is fine to us:</w:t>
            </w:r>
          </w:p>
          <w:p w14:paraId="29A011EA" w14:textId="77777777" w:rsidR="004D2E1C" w:rsidRDefault="004D2E1C" w:rsidP="004D2E1C">
            <w:pPr>
              <w:pStyle w:val="B10"/>
              <w:numPr>
                <w:ilvl w:val="0"/>
                <w:numId w:val="69"/>
              </w:numPr>
              <w:snapToGrid w:val="0"/>
              <w:spacing w:after="0"/>
              <w:rPr>
                <w:bCs/>
                <w:iCs/>
                <w:sz w:val="21"/>
                <w:szCs w:val="21"/>
              </w:rPr>
            </w:pPr>
            <w:r>
              <w:rPr>
                <w:bCs/>
                <w:iCs/>
                <w:sz w:val="21"/>
                <w:szCs w:val="21"/>
              </w:rPr>
              <w:t>Alt 1: clarify the current requirement equation for soft satellite switching is applied for the case if UE starts DL synchronization from t-serviceStart. (Apple, CMCC, Nokia)</w:t>
            </w:r>
          </w:p>
          <w:p w14:paraId="7CDBFF7E" w14:textId="77777777" w:rsidR="004D2E1C" w:rsidRDefault="004D2E1C" w:rsidP="004D2E1C">
            <w:pPr>
              <w:pStyle w:val="B10"/>
              <w:numPr>
                <w:ilvl w:val="0"/>
                <w:numId w:val="69"/>
              </w:numPr>
              <w:snapToGrid w:val="0"/>
              <w:spacing w:after="0"/>
              <w:rPr>
                <w:bCs/>
                <w:iCs/>
                <w:sz w:val="21"/>
                <w:szCs w:val="21"/>
              </w:rPr>
            </w:pPr>
            <w:r>
              <w:rPr>
                <w:bCs/>
                <w:iCs/>
                <w:sz w:val="21"/>
                <w:szCs w:val="21"/>
              </w:rPr>
              <w:t>Alt 2: clarify the T</w:t>
            </w:r>
            <w:r>
              <w:rPr>
                <w:bCs/>
                <w:iCs/>
                <w:sz w:val="21"/>
                <w:szCs w:val="21"/>
                <w:vertAlign w:val="subscript"/>
              </w:rPr>
              <w:t>first_SSB</w:t>
            </w:r>
            <w:r>
              <w:rPr>
                <w:bCs/>
                <w:iCs/>
                <w:sz w:val="21"/>
                <w:szCs w:val="21"/>
              </w:rPr>
              <w:t xml:space="preserve"> is the time to the end of the target satellite’s first complete SSB burst where UE starts performing DL synchronization. (Apple, CMCC, E///, HW)</w:t>
            </w:r>
          </w:p>
          <w:p w14:paraId="1EE57B8A" w14:textId="77777777" w:rsidR="004D2E1C" w:rsidRDefault="004D2E1C" w:rsidP="004D2E1C">
            <w:pPr>
              <w:pStyle w:val="B10"/>
              <w:numPr>
                <w:ilvl w:val="0"/>
                <w:numId w:val="69"/>
              </w:numPr>
              <w:snapToGrid w:val="0"/>
              <w:spacing w:after="0"/>
              <w:rPr>
                <w:bCs/>
                <w:iCs/>
                <w:sz w:val="21"/>
                <w:szCs w:val="21"/>
              </w:rPr>
            </w:pPr>
            <w:r>
              <w:rPr>
                <w:bCs/>
                <w:iCs/>
                <w:sz w:val="21"/>
                <w:szCs w:val="21"/>
              </w:rPr>
              <w:t>Alt 3: clarify the current requirement equation for soft satellite switching is applied for the case if UE starts DL synchronization from t-service. (MTK)</w:t>
            </w:r>
          </w:p>
          <w:p w14:paraId="64C10CDC" w14:textId="77777777" w:rsidR="004D2E1C" w:rsidRDefault="004D2E1C" w:rsidP="004D2E1C">
            <w:pPr>
              <w:pStyle w:val="B10"/>
              <w:numPr>
                <w:ilvl w:val="0"/>
                <w:numId w:val="69"/>
              </w:numPr>
              <w:snapToGrid w:val="0"/>
              <w:spacing w:after="0"/>
              <w:rPr>
                <w:bCs/>
                <w:iCs/>
                <w:sz w:val="21"/>
                <w:szCs w:val="21"/>
              </w:rPr>
            </w:pPr>
            <w:r>
              <w:rPr>
                <w:bCs/>
                <w:iCs/>
                <w:sz w:val="21"/>
                <w:szCs w:val="21"/>
              </w:rPr>
              <w:t>Alt 4: no change (QC, HW, vivo, Nokia, ZTE, CMCC)</w:t>
            </w:r>
          </w:p>
          <w:p w14:paraId="5D1748CF" w14:textId="77777777" w:rsidR="004D2E1C" w:rsidRDefault="004D2E1C" w:rsidP="004D2E1C">
            <w:pPr>
              <w:pStyle w:val="B10"/>
              <w:snapToGrid w:val="0"/>
              <w:spacing w:after="0"/>
              <w:ind w:left="0" w:firstLine="0"/>
              <w:rPr>
                <w:bCs/>
                <w:iCs/>
                <w:sz w:val="21"/>
                <w:szCs w:val="21"/>
              </w:rPr>
            </w:pPr>
            <w:r>
              <w:rPr>
                <w:rFonts w:hint="eastAsia"/>
                <w:bCs/>
                <w:iCs/>
                <w:sz w:val="21"/>
                <w:szCs w:val="21"/>
              </w:rPr>
              <w:t>M</w:t>
            </w:r>
            <w:r>
              <w:rPr>
                <w:bCs/>
                <w:iCs/>
                <w:sz w:val="21"/>
                <w:szCs w:val="21"/>
              </w:rPr>
              <w:t xml:space="preserve">TK: We tend to Alt 2. But it is questionable how to test. We need to make sure the existing test case still applies. </w:t>
            </w:r>
          </w:p>
          <w:p w14:paraId="615114D3" w14:textId="77777777" w:rsidR="004D2E1C" w:rsidRDefault="004D2E1C" w:rsidP="004D2E1C">
            <w:pPr>
              <w:pStyle w:val="B10"/>
              <w:snapToGrid w:val="0"/>
              <w:spacing w:after="0"/>
              <w:ind w:left="0" w:firstLine="0"/>
              <w:rPr>
                <w:bCs/>
                <w:iCs/>
                <w:sz w:val="21"/>
                <w:szCs w:val="21"/>
              </w:rPr>
            </w:pPr>
            <w:r>
              <w:rPr>
                <w:bCs/>
                <w:iCs/>
                <w:sz w:val="21"/>
                <w:szCs w:val="21"/>
              </w:rPr>
              <w:t xml:space="preserve">CMCC: Regarding how to test, we may not need a new test case. </w:t>
            </w:r>
          </w:p>
          <w:p w14:paraId="7E98C481" w14:textId="77777777" w:rsidR="004D2E1C" w:rsidRDefault="004D2E1C" w:rsidP="004D2E1C">
            <w:pPr>
              <w:pStyle w:val="B10"/>
              <w:snapToGrid w:val="0"/>
              <w:spacing w:after="0"/>
              <w:ind w:left="0" w:firstLine="0"/>
              <w:rPr>
                <w:bCs/>
                <w:iCs/>
                <w:sz w:val="21"/>
                <w:szCs w:val="21"/>
              </w:rPr>
            </w:pPr>
            <w:r>
              <w:rPr>
                <w:bCs/>
                <w:iCs/>
                <w:sz w:val="21"/>
                <w:szCs w:val="21"/>
              </w:rPr>
              <w:t>E///: MTK proposal is to simplify the test. We are open.</w:t>
            </w:r>
          </w:p>
          <w:p w14:paraId="45B7919B" w14:textId="77777777" w:rsidR="004D2E1C" w:rsidRDefault="004D2E1C" w:rsidP="004D2E1C">
            <w:pPr>
              <w:pStyle w:val="B10"/>
              <w:snapToGrid w:val="0"/>
              <w:spacing w:after="0"/>
              <w:ind w:left="0" w:firstLine="0"/>
              <w:rPr>
                <w:bCs/>
                <w:iCs/>
                <w:sz w:val="21"/>
                <w:szCs w:val="21"/>
              </w:rPr>
            </w:pPr>
            <w:r>
              <w:rPr>
                <w:bCs/>
                <w:iCs/>
                <w:sz w:val="21"/>
                <w:szCs w:val="21"/>
              </w:rPr>
              <w:t xml:space="preserve">QC: We prefer no change. Leave it to implementation. </w:t>
            </w:r>
          </w:p>
          <w:p w14:paraId="749578B6" w14:textId="671C5AB6" w:rsidR="004D2E1C" w:rsidRPr="004D2E1C" w:rsidRDefault="004D2E1C" w:rsidP="004D2E1C">
            <w:pPr>
              <w:pStyle w:val="B10"/>
              <w:snapToGrid w:val="0"/>
              <w:spacing w:after="0"/>
              <w:ind w:left="0" w:firstLine="0"/>
              <w:rPr>
                <w:bCs/>
                <w:iCs/>
                <w:sz w:val="21"/>
                <w:szCs w:val="21"/>
              </w:rPr>
            </w:pPr>
            <w:r>
              <w:rPr>
                <w:bCs/>
                <w:iCs/>
                <w:sz w:val="21"/>
                <w:szCs w:val="21"/>
              </w:rPr>
              <w:t>A</w:t>
            </w:r>
            <w:r>
              <w:rPr>
                <w:rFonts w:hint="eastAsia"/>
                <w:bCs/>
                <w:iCs/>
                <w:sz w:val="21"/>
                <w:szCs w:val="21"/>
              </w:rPr>
              <w:t>pp</w:t>
            </w:r>
            <w:r>
              <w:rPr>
                <w:bCs/>
                <w:iCs/>
                <w:sz w:val="21"/>
                <w:szCs w:val="21"/>
              </w:rPr>
              <w:t xml:space="preserve">le: we still have way to test Alt 2. </w:t>
            </w:r>
          </w:p>
        </w:tc>
      </w:tr>
    </w:tbl>
    <w:p w14:paraId="07EC5BC3" w14:textId="43272E69" w:rsidR="0087692F" w:rsidRDefault="00E93D52" w:rsidP="0087692F">
      <w:pPr>
        <w:pStyle w:val="Heading1"/>
        <w:numPr>
          <w:ilvl w:val="0"/>
          <w:numId w:val="10"/>
        </w:numPr>
        <w:pBdr>
          <w:top w:val="single" w:sz="12" w:space="2" w:color="auto"/>
        </w:pBdr>
        <w:jc w:val="both"/>
        <w:rPr>
          <w:sz w:val="32"/>
          <w:lang w:val="en-US"/>
        </w:rPr>
      </w:pPr>
      <w:r>
        <w:rPr>
          <w:sz w:val="32"/>
          <w:lang w:val="en-US"/>
        </w:rPr>
        <w:t xml:space="preserve">Discussion </w:t>
      </w:r>
      <w:r w:rsidR="00537816">
        <w:rPr>
          <w:sz w:val="32"/>
          <w:lang w:val="en-US"/>
        </w:rPr>
        <w:t>on Core part</w:t>
      </w:r>
      <w:r w:rsidR="00BB7B8A">
        <w:rPr>
          <w:sz w:val="32"/>
          <w:lang w:val="en-US"/>
        </w:rPr>
        <w:t xml:space="preserve"> maintenance</w:t>
      </w:r>
    </w:p>
    <w:p w14:paraId="56931F42" w14:textId="44F33AA6" w:rsidR="007B34C2" w:rsidRDefault="007B34C2" w:rsidP="003F3C7D">
      <w:pPr>
        <w:outlineLvl w:val="2"/>
        <w:rPr>
          <w:bCs/>
        </w:rPr>
      </w:pPr>
      <w:r w:rsidRPr="007B34C2">
        <w:rPr>
          <w:bCs/>
        </w:rPr>
        <w:t>In RAN4 #110 meeting WF R4-2403492, RAN4 agreed that</w:t>
      </w:r>
      <w:r>
        <w:rPr>
          <w:bCs/>
        </w:rPr>
        <w:t>,</w:t>
      </w:r>
    </w:p>
    <w:tbl>
      <w:tblPr>
        <w:tblStyle w:val="TableGrid"/>
        <w:tblW w:w="0" w:type="auto"/>
        <w:tblLook w:val="04A0" w:firstRow="1" w:lastRow="0" w:firstColumn="1" w:lastColumn="0" w:noHBand="0" w:noVBand="1"/>
      </w:tblPr>
      <w:tblGrid>
        <w:gridCol w:w="9730"/>
      </w:tblGrid>
      <w:tr w:rsidR="007B34C2" w14:paraId="6CD6E9E8" w14:textId="77777777" w:rsidTr="007B34C2">
        <w:tc>
          <w:tcPr>
            <w:tcW w:w="9730" w:type="dxa"/>
          </w:tcPr>
          <w:p w14:paraId="30D12A1A" w14:textId="77777777" w:rsidR="007B34C2" w:rsidRPr="009E3E83" w:rsidRDefault="007B34C2" w:rsidP="007B34C2">
            <w:pPr>
              <w:outlineLvl w:val="2"/>
              <w:rPr>
                <w:b/>
                <w:u w:val="single"/>
                <w:lang w:eastAsia="ko-KR"/>
              </w:rPr>
            </w:pPr>
            <w:r w:rsidRPr="009E3E83">
              <w:rPr>
                <w:b/>
                <w:u w:val="single"/>
                <w:lang w:eastAsia="ko-KR"/>
              </w:rPr>
              <w:t>Issue 5-2-S2: (‘Soft’ Satellite switch) Interruption time</w:t>
            </w:r>
          </w:p>
          <w:p w14:paraId="63490687" w14:textId="77777777" w:rsidR="007B34C2" w:rsidRPr="009E3E83" w:rsidRDefault="007B34C2" w:rsidP="007B34C2">
            <w:pPr>
              <w:spacing w:after="120" w:line="252" w:lineRule="auto"/>
              <w:ind w:firstLine="284"/>
              <w:rPr>
                <w:b/>
                <w:bCs/>
                <w:u w:val="single"/>
                <w:lang w:eastAsia="ja-JP"/>
              </w:rPr>
            </w:pPr>
            <w:r w:rsidRPr="009E3E83">
              <w:rPr>
                <w:b/>
                <w:bCs/>
                <w:u w:val="single"/>
                <w:lang w:eastAsia="ja-JP"/>
              </w:rPr>
              <w:t>Agreement: (Needs online discussion)</w:t>
            </w:r>
          </w:p>
          <w:p w14:paraId="038C5624" w14:textId="77777777" w:rsidR="007B34C2" w:rsidRPr="009E3E83" w:rsidRDefault="007B34C2" w:rsidP="007B34C2">
            <w:pPr>
              <w:pStyle w:val="ListParagraph"/>
              <w:widowControl/>
              <w:numPr>
                <w:ilvl w:val="0"/>
                <w:numId w:val="45"/>
              </w:numPr>
              <w:spacing w:before="0" w:beforeAutospacing="0" w:line="276" w:lineRule="auto"/>
              <w:ind w:left="644" w:firstLineChars="0"/>
              <w:rPr>
                <w:lang w:eastAsia="ja-JP"/>
              </w:rPr>
            </w:pPr>
            <w:r w:rsidRPr="009E3E83">
              <w:rPr>
                <w:lang w:eastAsia="ja-JP"/>
              </w:rPr>
              <w:t>The starting point of the downlink synchronization time</w:t>
            </w:r>
            <w:r w:rsidRPr="009E3E83">
              <w:rPr>
                <w:strike/>
                <w:lang w:eastAsia="ja-JP"/>
              </w:rPr>
              <w:t>/interruption time</w:t>
            </w:r>
            <w:r w:rsidRPr="009E3E83">
              <w:rPr>
                <w:lang w:eastAsia="ja-JP"/>
              </w:rPr>
              <w:t>.</w:t>
            </w:r>
          </w:p>
          <w:p w14:paraId="39D1688A" w14:textId="77777777" w:rsidR="007B34C2" w:rsidRPr="009E3E83" w:rsidRDefault="007B34C2" w:rsidP="007B34C2">
            <w:pPr>
              <w:pStyle w:val="ListParagraph"/>
              <w:widowControl/>
              <w:numPr>
                <w:ilvl w:val="1"/>
                <w:numId w:val="45"/>
              </w:numPr>
              <w:spacing w:before="0" w:beforeAutospacing="0" w:line="276" w:lineRule="auto"/>
              <w:ind w:left="1364" w:firstLineChars="0"/>
              <w:rPr>
                <w:lang w:eastAsia="ja-JP"/>
              </w:rPr>
            </w:pPr>
            <w:r w:rsidRPr="009E3E83">
              <w:rPr>
                <w:lang w:eastAsia="ja-JP"/>
              </w:rPr>
              <w:t xml:space="preserve">Between t-serviceStart and t-Service, </w:t>
            </w:r>
            <w:r w:rsidRPr="007B34C2">
              <w:rPr>
                <w:highlight w:val="yellow"/>
                <w:lang w:eastAsia="ja-JP"/>
              </w:rPr>
              <w:t>the exact starting time is up to UE implementation</w:t>
            </w:r>
          </w:p>
          <w:p w14:paraId="31A43839" w14:textId="77777777" w:rsidR="007B34C2" w:rsidRPr="009E3E83" w:rsidRDefault="007B34C2" w:rsidP="007B34C2">
            <w:pPr>
              <w:pStyle w:val="ListParagraph"/>
              <w:widowControl/>
              <w:numPr>
                <w:ilvl w:val="0"/>
                <w:numId w:val="45"/>
              </w:numPr>
              <w:spacing w:before="0" w:beforeAutospacing="0" w:line="276" w:lineRule="auto"/>
              <w:ind w:left="644" w:firstLineChars="0"/>
              <w:rPr>
                <w:lang w:eastAsia="ja-JP"/>
              </w:rPr>
            </w:pPr>
            <w:r w:rsidRPr="009E3E83">
              <w:rPr>
                <w:lang w:eastAsia="ja-JP"/>
              </w:rPr>
              <w:lastRenderedPageBreak/>
              <w:t>The starting point of the interruption time.</w:t>
            </w:r>
          </w:p>
          <w:p w14:paraId="23AADC6C" w14:textId="43D3EC93" w:rsidR="007B34C2" w:rsidRPr="007B34C2" w:rsidRDefault="007B34C2" w:rsidP="007B34C2">
            <w:pPr>
              <w:pStyle w:val="ListParagraph"/>
              <w:widowControl/>
              <w:numPr>
                <w:ilvl w:val="1"/>
                <w:numId w:val="45"/>
              </w:numPr>
              <w:spacing w:before="0" w:beforeAutospacing="0" w:line="276" w:lineRule="auto"/>
              <w:ind w:left="1364" w:firstLineChars="0"/>
              <w:rPr>
                <w:lang w:eastAsia="ja-JP"/>
              </w:rPr>
            </w:pPr>
            <w:r w:rsidRPr="009E3E83">
              <w:rPr>
                <w:lang w:eastAsia="ja-JP"/>
              </w:rPr>
              <w:t>t-Service</w:t>
            </w:r>
          </w:p>
        </w:tc>
      </w:tr>
    </w:tbl>
    <w:p w14:paraId="0AD1A8C4" w14:textId="59E03572" w:rsidR="007B34C2" w:rsidRDefault="007B34C2" w:rsidP="003F3C7D">
      <w:pPr>
        <w:outlineLvl w:val="2"/>
        <w:rPr>
          <w:bCs/>
        </w:rPr>
      </w:pPr>
      <w:r>
        <w:rPr>
          <w:bCs/>
        </w:rPr>
        <w:lastRenderedPageBreak/>
        <w:t xml:space="preserve">And RAN2 also has similar definition in their spec TS38.331, </w:t>
      </w:r>
    </w:p>
    <w:tbl>
      <w:tblPr>
        <w:tblStyle w:val="TableGrid"/>
        <w:tblW w:w="0" w:type="auto"/>
        <w:tblLook w:val="04A0" w:firstRow="1" w:lastRow="0" w:firstColumn="1" w:lastColumn="0" w:noHBand="0" w:noVBand="1"/>
      </w:tblPr>
      <w:tblGrid>
        <w:gridCol w:w="9730"/>
      </w:tblGrid>
      <w:tr w:rsidR="007B34C2" w14:paraId="0F006619" w14:textId="77777777" w:rsidTr="007B34C2">
        <w:tc>
          <w:tcPr>
            <w:tcW w:w="9730" w:type="dxa"/>
          </w:tcPr>
          <w:p w14:paraId="0EC0A180" w14:textId="5E87B78A" w:rsidR="007B34C2" w:rsidRDefault="007B34C2" w:rsidP="003F3C7D">
            <w:pPr>
              <w:outlineLvl w:val="2"/>
              <w:rPr>
                <w:bCs/>
              </w:rPr>
            </w:pPr>
            <w:r>
              <w:rPr>
                <w:bCs/>
                <w:noProof/>
              </w:rPr>
              <w:drawing>
                <wp:inline distT="0" distB="0" distL="0" distR="0" wp14:anchorId="17990778" wp14:editId="1A2F827B">
                  <wp:extent cx="5411449" cy="1561209"/>
                  <wp:effectExtent l="0" t="0" r="0" b="1270"/>
                  <wp:docPr id="718295582" name="Picture 2"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295582" name="Picture 2" descr="A close-up of a document&#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438918" cy="1569134"/>
                          </a:xfrm>
                          <a:prstGeom prst="rect">
                            <a:avLst/>
                          </a:prstGeom>
                        </pic:spPr>
                      </pic:pic>
                    </a:graphicData>
                  </a:graphic>
                </wp:inline>
              </w:drawing>
            </w:r>
          </w:p>
        </w:tc>
      </w:tr>
    </w:tbl>
    <w:p w14:paraId="0CF6789F" w14:textId="1EA33423" w:rsidR="007B34C2" w:rsidRDefault="007B34C2" w:rsidP="003F3C7D">
      <w:pPr>
        <w:outlineLvl w:val="2"/>
        <w:rPr>
          <w:bCs/>
        </w:rPr>
      </w:pPr>
      <w:r>
        <w:rPr>
          <w:bCs/>
        </w:rPr>
        <w:t>However, in the current RAN4 requirement for soft satellite switching without PCI change, it was specified that,</w:t>
      </w:r>
    </w:p>
    <w:tbl>
      <w:tblPr>
        <w:tblStyle w:val="TableGrid"/>
        <w:tblW w:w="0" w:type="auto"/>
        <w:tblLook w:val="04A0" w:firstRow="1" w:lastRow="0" w:firstColumn="1" w:lastColumn="0" w:noHBand="0" w:noVBand="1"/>
      </w:tblPr>
      <w:tblGrid>
        <w:gridCol w:w="9730"/>
      </w:tblGrid>
      <w:tr w:rsidR="007B34C2" w14:paraId="6F3D17D2" w14:textId="77777777" w:rsidTr="007B34C2">
        <w:tc>
          <w:tcPr>
            <w:tcW w:w="9730" w:type="dxa"/>
          </w:tcPr>
          <w:p w14:paraId="093C740F" w14:textId="0A34B745" w:rsidR="007B34C2" w:rsidRDefault="007B34C2" w:rsidP="003F3C7D">
            <w:pPr>
              <w:outlineLvl w:val="2"/>
              <w:rPr>
                <w:bCs/>
              </w:rPr>
            </w:pPr>
            <w:r>
              <w:rPr>
                <w:bCs/>
                <w:noProof/>
              </w:rPr>
              <w:drawing>
                <wp:inline distT="0" distB="0" distL="0" distR="0" wp14:anchorId="2367956E" wp14:editId="266330D8">
                  <wp:extent cx="6184900" cy="1458595"/>
                  <wp:effectExtent l="0" t="0" r="0" b="1905"/>
                  <wp:docPr id="20665097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509761"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84900" cy="1458595"/>
                          </a:xfrm>
                          <a:prstGeom prst="rect">
                            <a:avLst/>
                          </a:prstGeom>
                        </pic:spPr>
                      </pic:pic>
                    </a:graphicData>
                  </a:graphic>
                </wp:inline>
              </w:drawing>
            </w:r>
          </w:p>
        </w:tc>
      </w:tr>
    </w:tbl>
    <w:p w14:paraId="12BC7D39" w14:textId="79336655" w:rsidR="007B34C2" w:rsidRDefault="007B34C2" w:rsidP="003F3C7D">
      <w:pPr>
        <w:outlineLvl w:val="2"/>
        <w:rPr>
          <w:bCs/>
        </w:rPr>
      </w:pPr>
      <w:r w:rsidRPr="007B34C2">
        <w:rPr>
          <w:bCs/>
        </w:rPr>
        <w:t>The above equation means RAN4 assumed the DL synchronization starts from t-seviceStart, and it’s conflicting with the previous R</w:t>
      </w:r>
      <w:r>
        <w:rPr>
          <w:bCs/>
        </w:rPr>
        <w:t>AN</w:t>
      </w:r>
      <w:r w:rsidRPr="007B34C2">
        <w:rPr>
          <w:bCs/>
        </w:rPr>
        <w:t>4 agreements and RAN2 spec.</w:t>
      </w:r>
    </w:p>
    <w:p w14:paraId="357BED42" w14:textId="77777777" w:rsidR="00FE7140" w:rsidRDefault="00285ECD" w:rsidP="00FE7140">
      <w:pPr>
        <w:keepNext/>
        <w:jc w:val="center"/>
        <w:outlineLvl w:val="2"/>
      </w:pPr>
      <w:r>
        <w:rPr>
          <w:bCs/>
          <w:noProof/>
        </w:rPr>
        <w:drawing>
          <wp:inline distT="0" distB="0" distL="0" distR="0" wp14:anchorId="3C8FB494" wp14:editId="156A1EA2">
            <wp:extent cx="4856813" cy="2573513"/>
            <wp:effectExtent l="0" t="0" r="0" b="5080"/>
            <wp:docPr id="1718474722" name="Picture 4" descr="A graph on a white pap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474722" name="Picture 4" descr="A graph on a white paper&#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81380" cy="2586530"/>
                    </a:xfrm>
                    <a:prstGeom prst="rect">
                      <a:avLst/>
                    </a:prstGeom>
                  </pic:spPr>
                </pic:pic>
              </a:graphicData>
            </a:graphic>
          </wp:inline>
        </w:drawing>
      </w:r>
    </w:p>
    <w:p w14:paraId="7C1247FA" w14:textId="687A440A" w:rsidR="00285ECD" w:rsidRDefault="00FE7140" w:rsidP="00FE7140">
      <w:pPr>
        <w:pStyle w:val="Caption"/>
        <w:jc w:val="center"/>
        <w:rPr>
          <w:bCs w:val="0"/>
        </w:rPr>
      </w:pPr>
      <w:r>
        <w:t xml:space="preserve">Figure </w:t>
      </w:r>
      <w:fldSimple w:instr=" SEQ Figure \* ARABIC ">
        <w:r>
          <w:rPr>
            <w:noProof/>
          </w:rPr>
          <w:t>1</w:t>
        </w:r>
      </w:fldSimple>
      <w:r>
        <w:t>. the existing equation is unclear on when UE to start DL sync</w:t>
      </w:r>
    </w:p>
    <w:p w14:paraId="28F368EA" w14:textId="77777777" w:rsidR="00285ECD" w:rsidRDefault="00285ECD" w:rsidP="00285ECD">
      <w:pPr>
        <w:rPr>
          <w:sz w:val="21"/>
          <w:szCs w:val="21"/>
        </w:rPr>
      </w:pPr>
      <w:r>
        <w:lastRenderedPageBreak/>
        <w:t>In the equation, T</w:t>
      </w:r>
      <w:r>
        <w:rPr>
          <w:vertAlign w:val="subscript"/>
        </w:rPr>
        <w:t>search</w:t>
      </w:r>
      <w:r>
        <w:t xml:space="preserve"> is the time required to search the target NR SAN cell assuming the target cell is not already known when the handover command is received by the UE. If the target cell Es/Iot ≥ -2 dB, then T</w:t>
      </w:r>
      <w:r>
        <w:rPr>
          <w:vertAlign w:val="subscript"/>
        </w:rPr>
        <w:t>search</w:t>
      </w:r>
      <w:r>
        <w:t xml:space="preserve"> = T</w:t>
      </w:r>
      <w:r>
        <w:rPr>
          <w:vertAlign w:val="subscript"/>
        </w:rPr>
        <w:t>first_SSB</w:t>
      </w:r>
      <w:r>
        <w:t xml:space="preserve"> ms. Regardless of whether DRX is in use by the UE, T</w:t>
      </w:r>
      <w:r>
        <w:rPr>
          <w:vertAlign w:val="subscript"/>
        </w:rPr>
        <w:t>search</w:t>
      </w:r>
      <w:r>
        <w:t xml:space="preserve"> shall still be based on non-DRX target cell search times. T</w:t>
      </w:r>
      <w:r>
        <w:rPr>
          <w:vertAlign w:val="subscript"/>
        </w:rPr>
        <w:t>first_SSB</w:t>
      </w:r>
      <w:r>
        <w:t xml:space="preserve"> is the time to the end of the first complete SSB burst of target satellite, the location of which is determined by the periodicity and location of SSB of the source satellite, the </w:t>
      </w:r>
      <w:r>
        <w:rPr>
          <w:i/>
          <w:iCs/>
        </w:rPr>
        <w:t>ssb-TimeOffset</w:t>
      </w:r>
      <w:r>
        <w:t xml:space="preserve"> and the difference between propagation delay of the serving satellite and the target satellite counted from </w:t>
      </w:r>
      <w:r>
        <w:rPr>
          <w:i/>
          <w:iCs/>
        </w:rPr>
        <w:t>SSB-TimeOffset</w:t>
      </w:r>
      <w:r>
        <w:t xml:space="preserve"> reference point as defined in 38.331 [2] to UE.</w:t>
      </w:r>
    </w:p>
    <w:p w14:paraId="79BE4D63" w14:textId="481117EC" w:rsidR="00023708" w:rsidRDefault="00285ECD" w:rsidP="00023708">
      <w:pPr>
        <w:pStyle w:val="B10"/>
        <w:ind w:left="0" w:hanging="14"/>
        <w:jc w:val="both"/>
      </w:pPr>
      <w:r>
        <w:t xml:space="preserve">In our view, the existing requirement applicability shall be clarified to avoid the ambiguity for UE implementation, i.e., when to perform DL synchronization of new SAT is up to implementation. </w:t>
      </w:r>
      <w:r w:rsidR="00023708">
        <w:t xml:space="preserve">We think the alt 2 itself exactly means when to start synchronization is up to UE implementation, and we didn’t see necessity to change the current test case setup since no one claim on testing failure so far. However, requirement needs to be technically or theoretically </w:t>
      </w:r>
      <w:r w:rsidR="0000091E">
        <w:t>precise and</w:t>
      </w:r>
      <w:r w:rsidR="00023708">
        <w:t xml:space="preserve"> needs to be consistent among different WGs and specs, we prefer to clarify such UE implementation based behavior in the spec without test case change.</w:t>
      </w:r>
    </w:p>
    <w:p w14:paraId="0BE054C2" w14:textId="0B252A5B" w:rsidR="00285ECD" w:rsidRDefault="00023708" w:rsidP="00285ECD">
      <w:pPr>
        <w:pStyle w:val="B10"/>
        <w:ind w:left="0" w:hanging="14"/>
      </w:pPr>
      <w:r>
        <w:t xml:space="preserve">We prefer the </w:t>
      </w:r>
      <w:r w:rsidR="0000091E">
        <w:t>A</w:t>
      </w:r>
      <w:r>
        <w:t xml:space="preserve">lt2 but can also be fine with </w:t>
      </w:r>
      <w:r w:rsidR="0000091E">
        <w:t>Alt3 as compromise.</w:t>
      </w:r>
    </w:p>
    <w:p w14:paraId="19EC6B6C" w14:textId="77777777" w:rsidR="0000091E" w:rsidRPr="0000091E" w:rsidRDefault="0000091E" w:rsidP="0000091E">
      <w:pPr>
        <w:pStyle w:val="B10"/>
        <w:numPr>
          <w:ilvl w:val="0"/>
          <w:numId w:val="69"/>
        </w:numPr>
        <w:snapToGrid w:val="0"/>
        <w:spacing w:after="0"/>
        <w:rPr>
          <w:bCs/>
          <w:iCs/>
        </w:rPr>
      </w:pPr>
      <w:r w:rsidRPr="0000091E">
        <w:rPr>
          <w:bCs/>
          <w:iCs/>
        </w:rPr>
        <w:t>Alt 1: clarify the current requirement equation for soft satellite switching is applied for the case if UE starts DL synchronization from t-serviceStart. (Apple, CMCC, Nokia)</w:t>
      </w:r>
    </w:p>
    <w:p w14:paraId="1DE1BE31" w14:textId="77777777" w:rsidR="0000091E" w:rsidRPr="0000091E" w:rsidRDefault="0000091E" w:rsidP="0000091E">
      <w:pPr>
        <w:pStyle w:val="B10"/>
        <w:numPr>
          <w:ilvl w:val="0"/>
          <w:numId w:val="69"/>
        </w:numPr>
        <w:snapToGrid w:val="0"/>
        <w:spacing w:after="0"/>
        <w:rPr>
          <w:bCs/>
          <w:iCs/>
        </w:rPr>
      </w:pPr>
      <w:r w:rsidRPr="0000091E">
        <w:rPr>
          <w:bCs/>
          <w:iCs/>
        </w:rPr>
        <w:t>Alt 2: clarify the T</w:t>
      </w:r>
      <w:r w:rsidRPr="0000091E">
        <w:rPr>
          <w:bCs/>
          <w:iCs/>
          <w:vertAlign w:val="subscript"/>
        </w:rPr>
        <w:t>first_SSB</w:t>
      </w:r>
      <w:r w:rsidRPr="0000091E">
        <w:rPr>
          <w:bCs/>
          <w:iCs/>
        </w:rPr>
        <w:t xml:space="preserve"> is the time to the end of the target satellite’s first complete SSB burst where UE starts performing DL synchronization. (Apple, CMCC, E///, HW)</w:t>
      </w:r>
    </w:p>
    <w:p w14:paraId="784A1ADD" w14:textId="77777777" w:rsidR="0000091E" w:rsidRPr="0000091E" w:rsidRDefault="0000091E" w:rsidP="0000091E">
      <w:pPr>
        <w:pStyle w:val="B10"/>
        <w:numPr>
          <w:ilvl w:val="0"/>
          <w:numId w:val="69"/>
        </w:numPr>
        <w:snapToGrid w:val="0"/>
        <w:spacing w:after="0"/>
        <w:rPr>
          <w:bCs/>
          <w:iCs/>
        </w:rPr>
      </w:pPr>
      <w:r w:rsidRPr="0000091E">
        <w:rPr>
          <w:bCs/>
          <w:iCs/>
        </w:rPr>
        <w:t>Alt 3: clarify the current requirement equation for soft satellite switching is applied for the case if UE starts DL synchronization from t-service. (MTK)</w:t>
      </w:r>
    </w:p>
    <w:p w14:paraId="4DF591E9" w14:textId="77777777" w:rsidR="0000091E" w:rsidRPr="0000091E" w:rsidRDefault="0000091E" w:rsidP="0000091E">
      <w:pPr>
        <w:pStyle w:val="B10"/>
        <w:numPr>
          <w:ilvl w:val="0"/>
          <w:numId w:val="69"/>
        </w:numPr>
        <w:snapToGrid w:val="0"/>
        <w:spacing w:after="0"/>
        <w:rPr>
          <w:bCs/>
          <w:iCs/>
        </w:rPr>
      </w:pPr>
      <w:r w:rsidRPr="0000091E">
        <w:rPr>
          <w:bCs/>
          <w:iCs/>
        </w:rPr>
        <w:t>Alt 4: no change (QC, HW, vivo, Nokia, ZTE, CMCC)</w:t>
      </w:r>
    </w:p>
    <w:p w14:paraId="2945FD84" w14:textId="77777777" w:rsidR="0000091E" w:rsidRDefault="0000091E" w:rsidP="0000091E">
      <w:pPr>
        <w:pStyle w:val="B10"/>
        <w:snapToGrid w:val="0"/>
        <w:spacing w:after="0"/>
        <w:ind w:left="706" w:firstLine="0"/>
        <w:rPr>
          <w:bCs/>
          <w:iCs/>
          <w:sz w:val="21"/>
          <w:szCs w:val="21"/>
        </w:rPr>
      </w:pPr>
    </w:p>
    <w:p w14:paraId="51BD1B22" w14:textId="6F9FC47B" w:rsidR="00CE701F" w:rsidRDefault="003F3C7D" w:rsidP="00CE701F">
      <w:pPr>
        <w:spacing w:before="0" w:beforeAutospacing="0" w:after="120"/>
        <w:jc w:val="both"/>
        <w:rPr>
          <w:b/>
          <w:bCs/>
          <w:i/>
          <w:color w:val="000000" w:themeColor="text1"/>
        </w:rPr>
      </w:pPr>
      <w:r>
        <w:rPr>
          <w:b/>
          <w:bCs/>
          <w:i/>
          <w:color w:val="000000" w:themeColor="text1"/>
        </w:rPr>
        <w:t xml:space="preserve">Proposal </w:t>
      </w:r>
      <w:r w:rsidR="007A1616">
        <w:rPr>
          <w:b/>
          <w:bCs/>
          <w:i/>
          <w:color w:val="000000" w:themeColor="text1"/>
        </w:rPr>
        <w:t>1</w:t>
      </w:r>
      <w:r w:rsidR="00CE701F">
        <w:rPr>
          <w:b/>
          <w:bCs/>
          <w:i/>
          <w:color w:val="000000" w:themeColor="text1"/>
        </w:rPr>
        <w:t>: to reflect “when to start DL synchronization b</w:t>
      </w:r>
      <w:r w:rsidR="00CE701F" w:rsidRPr="00CE701F">
        <w:rPr>
          <w:b/>
          <w:bCs/>
          <w:i/>
          <w:color w:val="000000" w:themeColor="text1"/>
        </w:rPr>
        <w:t>etween t-serviceStart and t-Service</w:t>
      </w:r>
      <w:r w:rsidR="00CE701F">
        <w:rPr>
          <w:b/>
          <w:bCs/>
          <w:i/>
          <w:color w:val="000000" w:themeColor="text1"/>
        </w:rPr>
        <w:t xml:space="preserve"> is up to UE implementation”, extra clarification is needed for existing soft satellite switching latency requirement. Either of the following alternatives is fine to us:</w:t>
      </w:r>
    </w:p>
    <w:p w14:paraId="5AE3A548" w14:textId="6A48A4E1" w:rsidR="00D0450F" w:rsidRPr="00D0450F" w:rsidRDefault="00D0450F" w:rsidP="0000091E">
      <w:pPr>
        <w:pStyle w:val="B10"/>
        <w:numPr>
          <w:ilvl w:val="0"/>
          <w:numId w:val="69"/>
        </w:numPr>
        <w:snapToGrid w:val="0"/>
        <w:spacing w:after="0"/>
        <w:rPr>
          <w:b/>
          <w:i/>
        </w:rPr>
      </w:pPr>
      <w:r w:rsidRPr="00D0450F">
        <w:rPr>
          <w:b/>
          <w:i/>
        </w:rPr>
        <w:t>Alt 1: clarify the current requirement equation for soft satellite switching is applied for the case if UE starts DL synchronization from t-serviceStart.</w:t>
      </w:r>
    </w:p>
    <w:p w14:paraId="565C01FE" w14:textId="0F195BCE" w:rsidR="0000091E" w:rsidRPr="0000091E" w:rsidRDefault="0000091E" w:rsidP="0000091E">
      <w:pPr>
        <w:pStyle w:val="B10"/>
        <w:numPr>
          <w:ilvl w:val="0"/>
          <w:numId w:val="69"/>
        </w:numPr>
        <w:snapToGrid w:val="0"/>
        <w:spacing w:after="0"/>
        <w:rPr>
          <w:b/>
          <w:i/>
        </w:rPr>
      </w:pPr>
      <w:r w:rsidRPr="0000091E">
        <w:rPr>
          <w:b/>
          <w:i/>
        </w:rPr>
        <w:t>Alt 2: clarify the T</w:t>
      </w:r>
      <w:r w:rsidRPr="0000091E">
        <w:rPr>
          <w:b/>
          <w:i/>
          <w:vertAlign w:val="subscript"/>
        </w:rPr>
        <w:t>first_SSB</w:t>
      </w:r>
      <w:r w:rsidRPr="0000091E">
        <w:rPr>
          <w:b/>
          <w:i/>
        </w:rPr>
        <w:t xml:space="preserve"> is the time to the end of the target satellite’s first complete SSB burst where UE starts performing DL synchronization.</w:t>
      </w:r>
    </w:p>
    <w:p w14:paraId="22C562D7" w14:textId="45CABC57" w:rsidR="0000091E" w:rsidRPr="0000091E" w:rsidRDefault="0000091E" w:rsidP="0000091E">
      <w:pPr>
        <w:pStyle w:val="B10"/>
        <w:numPr>
          <w:ilvl w:val="0"/>
          <w:numId w:val="69"/>
        </w:numPr>
        <w:snapToGrid w:val="0"/>
        <w:spacing w:after="0"/>
        <w:rPr>
          <w:b/>
          <w:i/>
        </w:rPr>
      </w:pPr>
      <w:r w:rsidRPr="0000091E">
        <w:rPr>
          <w:b/>
          <w:i/>
        </w:rPr>
        <w:t xml:space="preserve">Alt 3: clarify the current requirement equation for soft satellite switching is applied for the case if UE starts DL synchronization from t-service. </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2EB61392" w14:textId="2D958753" w:rsidR="001073FB" w:rsidRDefault="00131046" w:rsidP="00E06DD6">
      <w:pPr>
        <w:jc w:val="both"/>
      </w:pPr>
      <w:r w:rsidRPr="00EE14B6">
        <w:t xml:space="preserve">In this contribution, we discuss the NR-NTN </w:t>
      </w:r>
      <w:r w:rsidR="008D2604">
        <w:t xml:space="preserve">core </w:t>
      </w:r>
      <w:r w:rsidRPr="00EE14B6">
        <w:t>requirement</w:t>
      </w:r>
      <w:r w:rsidR="008D2604">
        <w:t xml:space="preserve"> maintenance</w:t>
      </w:r>
      <w:r w:rsidRPr="00EE14B6">
        <w:t>.</w:t>
      </w:r>
    </w:p>
    <w:p w14:paraId="52F0E07C" w14:textId="77777777" w:rsidR="0000091E" w:rsidRDefault="0000091E" w:rsidP="0000091E">
      <w:pPr>
        <w:spacing w:before="0" w:beforeAutospacing="0" w:after="120"/>
        <w:jc w:val="both"/>
        <w:rPr>
          <w:b/>
          <w:bCs/>
          <w:i/>
          <w:color w:val="000000" w:themeColor="text1"/>
        </w:rPr>
      </w:pPr>
      <w:r>
        <w:rPr>
          <w:b/>
          <w:bCs/>
          <w:i/>
          <w:color w:val="000000" w:themeColor="text1"/>
        </w:rPr>
        <w:t>Proposal 1: to reflect “when to start DL synchronization b</w:t>
      </w:r>
      <w:r w:rsidRPr="00CE701F">
        <w:rPr>
          <w:b/>
          <w:bCs/>
          <w:i/>
          <w:color w:val="000000" w:themeColor="text1"/>
        </w:rPr>
        <w:t>etween t-serviceStart and t-Service</w:t>
      </w:r>
      <w:r>
        <w:rPr>
          <w:b/>
          <w:bCs/>
          <w:i/>
          <w:color w:val="000000" w:themeColor="text1"/>
        </w:rPr>
        <w:t xml:space="preserve"> is up to UE implementation”, extra clarification is needed for existing soft satellite switching latency requirement. Either of the following alternatives is fine to us:</w:t>
      </w:r>
    </w:p>
    <w:p w14:paraId="7740FB22" w14:textId="77777777" w:rsidR="00D0450F" w:rsidRPr="00D0450F" w:rsidRDefault="00D0450F" w:rsidP="00D0450F">
      <w:pPr>
        <w:pStyle w:val="B10"/>
        <w:numPr>
          <w:ilvl w:val="0"/>
          <w:numId w:val="69"/>
        </w:numPr>
        <w:snapToGrid w:val="0"/>
        <w:spacing w:after="0"/>
        <w:rPr>
          <w:b/>
          <w:i/>
        </w:rPr>
      </w:pPr>
      <w:r w:rsidRPr="00D0450F">
        <w:rPr>
          <w:b/>
          <w:i/>
        </w:rPr>
        <w:t>Alt 1: clarify the current requirement equation for soft satellite switching is applied for the case if UE starts DL synchronization from t-serviceStart.</w:t>
      </w:r>
    </w:p>
    <w:p w14:paraId="12EF3619" w14:textId="77777777" w:rsidR="00D0450F" w:rsidRPr="0000091E" w:rsidRDefault="00D0450F" w:rsidP="00D0450F">
      <w:pPr>
        <w:pStyle w:val="B10"/>
        <w:numPr>
          <w:ilvl w:val="0"/>
          <w:numId w:val="69"/>
        </w:numPr>
        <w:snapToGrid w:val="0"/>
        <w:spacing w:after="0"/>
        <w:rPr>
          <w:b/>
          <w:i/>
        </w:rPr>
      </w:pPr>
      <w:r w:rsidRPr="0000091E">
        <w:rPr>
          <w:b/>
          <w:i/>
        </w:rPr>
        <w:lastRenderedPageBreak/>
        <w:t>Alt 2: clarify the T</w:t>
      </w:r>
      <w:r w:rsidRPr="0000091E">
        <w:rPr>
          <w:b/>
          <w:i/>
          <w:vertAlign w:val="subscript"/>
        </w:rPr>
        <w:t>first_SSB</w:t>
      </w:r>
      <w:r w:rsidRPr="0000091E">
        <w:rPr>
          <w:b/>
          <w:i/>
        </w:rPr>
        <w:t xml:space="preserve"> is the time to the end of the target satellite’s first complete SSB burst where UE starts performing DL synchronization.</w:t>
      </w:r>
    </w:p>
    <w:p w14:paraId="7DFB2263" w14:textId="77777777" w:rsidR="00D0450F" w:rsidRPr="0000091E" w:rsidRDefault="00D0450F" w:rsidP="00D0450F">
      <w:pPr>
        <w:pStyle w:val="B10"/>
        <w:numPr>
          <w:ilvl w:val="0"/>
          <w:numId w:val="69"/>
        </w:numPr>
        <w:snapToGrid w:val="0"/>
        <w:spacing w:after="0"/>
        <w:rPr>
          <w:b/>
          <w:i/>
        </w:rPr>
      </w:pPr>
      <w:r w:rsidRPr="0000091E">
        <w:rPr>
          <w:b/>
          <w:i/>
        </w:rPr>
        <w:t xml:space="preserve">Alt 3: clarify the current requirement equation for soft satellite switching is applied for the case if UE starts DL synchronization from t-service. </w:t>
      </w:r>
    </w:p>
    <w:p w14:paraId="5C32F4BB" w14:textId="5CB15E40" w:rsidR="00A74337" w:rsidRDefault="00A74337" w:rsidP="008A1E57">
      <w:pPr>
        <w:pStyle w:val="Heading1"/>
        <w:pBdr>
          <w:top w:val="single" w:sz="12" w:space="2" w:color="auto"/>
        </w:pBdr>
        <w:ind w:left="0" w:firstLine="0"/>
        <w:jc w:val="both"/>
        <w:rPr>
          <w:sz w:val="32"/>
        </w:rPr>
      </w:pPr>
      <w:r w:rsidRPr="00B7162C">
        <w:rPr>
          <w:rFonts w:hint="eastAsia"/>
          <w:sz w:val="32"/>
        </w:rPr>
        <w:t>References</w:t>
      </w:r>
    </w:p>
    <w:p w14:paraId="608DFE79" w14:textId="400C376D" w:rsidR="00BA52AC" w:rsidRDefault="00756606" w:rsidP="00A74337">
      <w:r>
        <w:t xml:space="preserve">[1] </w:t>
      </w:r>
      <w:r w:rsidR="00023708" w:rsidRPr="00023708">
        <w:rPr>
          <w:rFonts w:cs="Arial"/>
          <w:noProof/>
        </w:rPr>
        <w:t>R4-2505552</w:t>
      </w:r>
      <w:r w:rsidR="00023708">
        <w:rPr>
          <w:rFonts w:cs="Arial"/>
          <w:noProof/>
        </w:rPr>
        <w:t xml:space="preserve">, </w:t>
      </w:r>
      <w:r w:rsidR="00023708" w:rsidRPr="00023708">
        <w:rPr>
          <w:rFonts w:cs="Arial"/>
          <w:noProof/>
        </w:rPr>
        <w:t>Topic summary for [115][203] Maintenance_R18_R19</w:t>
      </w:r>
      <w:r w:rsidRPr="003302A0">
        <w:t xml:space="preserve">, </w:t>
      </w:r>
      <w:r w:rsidRPr="00C8257C">
        <w:t>Qualcomm Incorporated</w:t>
      </w:r>
      <w:r w:rsidRPr="003302A0">
        <w:t>, RAN</w:t>
      </w:r>
      <w:r>
        <w:t>4 #11</w:t>
      </w:r>
      <w:r w:rsidR="00023708">
        <w:t>5</w:t>
      </w:r>
    </w:p>
    <w:p w14:paraId="1A9988BC" w14:textId="0E5C818F" w:rsidR="00A753C9" w:rsidRDefault="00A753C9" w:rsidP="00281956"/>
    <w:sectPr w:rsidR="00A753C9" w:rsidSect="00DD5D3B">
      <w:headerReference w:type="even" r:id="rId11"/>
      <w:footnotePr>
        <w:numRestart w:val="eachSect"/>
      </w:footnotePr>
      <w:pgSz w:w="11900" w:h="16840"/>
      <w:pgMar w:top="1440" w:right="1080" w:bottom="1440" w:left="1080"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DEC7E" w14:textId="77777777" w:rsidR="00241BA5" w:rsidRDefault="00241BA5">
      <w:r>
        <w:separator/>
      </w:r>
    </w:p>
  </w:endnote>
  <w:endnote w:type="continuationSeparator" w:id="0">
    <w:p w14:paraId="47A53037" w14:textId="77777777" w:rsidR="00241BA5" w:rsidRDefault="00241BA5">
      <w:r>
        <w:continuationSeparator/>
      </w:r>
    </w:p>
  </w:endnote>
  <w:endnote w:type="continuationNotice" w:id="1">
    <w:p w14:paraId="18E3AF25" w14:textId="77777777" w:rsidR="00241BA5" w:rsidRDefault="00241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2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F40EB" w14:textId="77777777" w:rsidR="00241BA5" w:rsidRDefault="00241BA5">
      <w:r>
        <w:separator/>
      </w:r>
    </w:p>
  </w:footnote>
  <w:footnote w:type="continuationSeparator" w:id="0">
    <w:p w14:paraId="2800CE7A" w14:textId="77777777" w:rsidR="00241BA5" w:rsidRDefault="00241BA5">
      <w:r>
        <w:continuationSeparator/>
      </w:r>
    </w:p>
  </w:footnote>
  <w:footnote w:type="continuationNotice" w:id="1">
    <w:p w14:paraId="41D66BBD" w14:textId="77777777" w:rsidR="00241BA5" w:rsidRDefault="00241B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55.5pt;height:38.35pt;visibility:visible;mso-wrap-style:square"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7D75EF"/>
    <w:multiLevelType w:val="hybridMultilevel"/>
    <w:tmpl w:val="5D46BC34"/>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C5A2D"/>
    <w:multiLevelType w:val="hybridMultilevel"/>
    <w:tmpl w:val="40B868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AB406C"/>
    <w:multiLevelType w:val="hybridMultilevel"/>
    <w:tmpl w:val="7C183E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3605A57"/>
    <w:multiLevelType w:val="hybridMultilevel"/>
    <w:tmpl w:val="1A48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87B26F2"/>
    <w:multiLevelType w:val="hybridMultilevel"/>
    <w:tmpl w:val="9670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779CD"/>
    <w:multiLevelType w:val="hybridMultilevel"/>
    <w:tmpl w:val="40B868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3D4429"/>
    <w:multiLevelType w:val="hybridMultilevel"/>
    <w:tmpl w:val="59D22A74"/>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0" w15:restartNumberingAfterBreak="0">
    <w:nsid w:val="29B832F6"/>
    <w:multiLevelType w:val="hybridMultilevel"/>
    <w:tmpl w:val="75CC749E"/>
    <w:lvl w:ilvl="0" w:tplc="6376FBBC">
      <w:start w:val="1"/>
      <w:numFmt w:val="bullet"/>
      <w:lvlText w:val="•"/>
      <w:lvlJc w:val="left"/>
      <w:pPr>
        <w:tabs>
          <w:tab w:val="num" w:pos="644"/>
        </w:tabs>
        <w:ind w:left="644" w:hanging="360"/>
      </w:pPr>
      <w:rPr>
        <w:rFonts w:ascii="Arial" w:hAnsi="Arial" w:hint="default"/>
      </w:rPr>
    </w:lvl>
    <w:lvl w:ilvl="1" w:tplc="F79A84E8">
      <w:numFmt w:val="bullet"/>
      <w:lvlText w:val="–"/>
      <w:lvlJc w:val="left"/>
      <w:pPr>
        <w:tabs>
          <w:tab w:val="num" w:pos="1364"/>
        </w:tabs>
        <w:ind w:left="1364" w:hanging="360"/>
      </w:pPr>
      <w:rPr>
        <w:rFonts w:ascii="Arial" w:hAnsi="Arial" w:hint="default"/>
      </w:rPr>
    </w:lvl>
    <w:lvl w:ilvl="2" w:tplc="45E60BC2">
      <w:numFmt w:val="bullet"/>
      <w:lvlText w:val="•"/>
      <w:lvlJc w:val="left"/>
      <w:pPr>
        <w:tabs>
          <w:tab w:val="num" w:pos="2084"/>
        </w:tabs>
        <w:ind w:left="2084" w:hanging="360"/>
      </w:pPr>
      <w:rPr>
        <w:rFonts w:ascii="Arial" w:hAnsi="Arial" w:hint="default"/>
      </w:rPr>
    </w:lvl>
    <w:lvl w:ilvl="3" w:tplc="83548D7E" w:tentative="1">
      <w:start w:val="1"/>
      <w:numFmt w:val="bullet"/>
      <w:lvlText w:val="•"/>
      <w:lvlJc w:val="left"/>
      <w:pPr>
        <w:tabs>
          <w:tab w:val="num" w:pos="2804"/>
        </w:tabs>
        <w:ind w:left="2804" w:hanging="360"/>
      </w:pPr>
      <w:rPr>
        <w:rFonts w:ascii="Arial" w:hAnsi="Arial" w:hint="default"/>
      </w:rPr>
    </w:lvl>
    <w:lvl w:ilvl="4" w:tplc="C49AF4EA" w:tentative="1">
      <w:start w:val="1"/>
      <w:numFmt w:val="bullet"/>
      <w:lvlText w:val="•"/>
      <w:lvlJc w:val="left"/>
      <w:pPr>
        <w:tabs>
          <w:tab w:val="num" w:pos="3524"/>
        </w:tabs>
        <w:ind w:left="3524" w:hanging="360"/>
      </w:pPr>
      <w:rPr>
        <w:rFonts w:ascii="Arial" w:hAnsi="Arial" w:hint="default"/>
      </w:rPr>
    </w:lvl>
    <w:lvl w:ilvl="5" w:tplc="72E8BDB2" w:tentative="1">
      <w:start w:val="1"/>
      <w:numFmt w:val="bullet"/>
      <w:lvlText w:val="•"/>
      <w:lvlJc w:val="left"/>
      <w:pPr>
        <w:tabs>
          <w:tab w:val="num" w:pos="4244"/>
        </w:tabs>
        <w:ind w:left="4244" w:hanging="360"/>
      </w:pPr>
      <w:rPr>
        <w:rFonts w:ascii="Arial" w:hAnsi="Arial" w:hint="default"/>
      </w:rPr>
    </w:lvl>
    <w:lvl w:ilvl="6" w:tplc="E06895C6" w:tentative="1">
      <w:start w:val="1"/>
      <w:numFmt w:val="bullet"/>
      <w:lvlText w:val="•"/>
      <w:lvlJc w:val="left"/>
      <w:pPr>
        <w:tabs>
          <w:tab w:val="num" w:pos="4964"/>
        </w:tabs>
        <w:ind w:left="4964" w:hanging="360"/>
      </w:pPr>
      <w:rPr>
        <w:rFonts w:ascii="Arial" w:hAnsi="Arial" w:hint="default"/>
      </w:rPr>
    </w:lvl>
    <w:lvl w:ilvl="7" w:tplc="36A0E628" w:tentative="1">
      <w:start w:val="1"/>
      <w:numFmt w:val="bullet"/>
      <w:lvlText w:val="•"/>
      <w:lvlJc w:val="left"/>
      <w:pPr>
        <w:tabs>
          <w:tab w:val="num" w:pos="5684"/>
        </w:tabs>
        <w:ind w:left="5684" w:hanging="360"/>
      </w:pPr>
      <w:rPr>
        <w:rFonts w:ascii="Arial" w:hAnsi="Arial" w:hint="default"/>
      </w:rPr>
    </w:lvl>
    <w:lvl w:ilvl="8" w:tplc="1722B224"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A966925"/>
    <w:multiLevelType w:val="hybridMultilevel"/>
    <w:tmpl w:val="E2709BA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7"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1B73CBB"/>
    <w:multiLevelType w:val="multilevel"/>
    <w:tmpl w:val="41B73CBB"/>
    <w:lvl w:ilvl="0">
      <w:start w:val="2"/>
      <w:numFmt w:val="bullet"/>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3" w15:restartNumberingAfterBreak="0">
    <w:nsid w:val="4B926A93"/>
    <w:multiLevelType w:val="hybridMultilevel"/>
    <w:tmpl w:val="B1F810F2"/>
    <w:lvl w:ilvl="0" w:tplc="04090001">
      <w:start w:val="1"/>
      <w:numFmt w:val="bullet"/>
      <w:lvlText w:val=""/>
      <w:lvlJc w:val="left"/>
      <w:pPr>
        <w:ind w:left="706" w:hanging="360"/>
      </w:pPr>
      <w:rPr>
        <w:rFonts w:ascii="Symbol" w:hAnsi="Symbol" w:hint="default"/>
      </w:rPr>
    </w:lvl>
    <w:lvl w:ilvl="1" w:tplc="04090003">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4" w15:restartNumberingAfterBreak="0">
    <w:nsid w:val="4FEC4F38"/>
    <w:multiLevelType w:val="hybridMultilevel"/>
    <w:tmpl w:val="40B86800"/>
    <w:lvl w:ilvl="0" w:tplc="87DCA4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72D2E21"/>
    <w:multiLevelType w:val="hybridMultilevel"/>
    <w:tmpl w:val="BF141D0C"/>
    <w:lvl w:ilvl="0" w:tplc="FF72793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D1F430C"/>
    <w:multiLevelType w:val="multilevel"/>
    <w:tmpl w:val="5D1F4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530352E"/>
    <w:multiLevelType w:val="multilevel"/>
    <w:tmpl w:val="AD6803A8"/>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47"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267C66"/>
    <w:multiLevelType w:val="hybridMultilevel"/>
    <w:tmpl w:val="BBDC7FEE"/>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0" w15:restartNumberingAfterBreak="0">
    <w:nsid w:val="67D77771"/>
    <w:multiLevelType w:val="hybridMultilevel"/>
    <w:tmpl w:val="FDDC79F6"/>
    <w:lvl w:ilvl="0" w:tplc="72245076">
      <w:start w:val="1"/>
      <w:numFmt w:val="bullet"/>
      <w:lvlText w:val=""/>
      <w:lvlJc w:val="left"/>
      <w:pPr>
        <w:tabs>
          <w:tab w:val="num" w:pos="720"/>
        </w:tabs>
        <w:ind w:left="720" w:hanging="360"/>
      </w:pPr>
      <w:rPr>
        <w:rFonts w:ascii="Symbol" w:hAnsi="Symbol" w:hint="default"/>
      </w:rPr>
    </w:lvl>
    <w:lvl w:ilvl="1" w:tplc="1056F740">
      <w:numFmt w:val="bullet"/>
      <w:lvlText w:val="•"/>
      <w:lvlJc w:val="left"/>
      <w:pPr>
        <w:tabs>
          <w:tab w:val="num" w:pos="1440"/>
        </w:tabs>
        <w:ind w:left="1440" w:hanging="360"/>
      </w:pPr>
      <w:rPr>
        <w:rFonts w:ascii="Arial" w:hAnsi="Arial" w:hint="default"/>
      </w:rPr>
    </w:lvl>
    <w:lvl w:ilvl="2" w:tplc="DFAE9926" w:tentative="1">
      <w:start w:val="1"/>
      <w:numFmt w:val="bullet"/>
      <w:lvlText w:val=""/>
      <w:lvlJc w:val="left"/>
      <w:pPr>
        <w:tabs>
          <w:tab w:val="num" w:pos="2160"/>
        </w:tabs>
        <w:ind w:left="2160" w:hanging="360"/>
      </w:pPr>
      <w:rPr>
        <w:rFonts w:ascii="Symbol" w:hAnsi="Symbol" w:hint="default"/>
      </w:rPr>
    </w:lvl>
    <w:lvl w:ilvl="3" w:tplc="ECD411C0" w:tentative="1">
      <w:start w:val="1"/>
      <w:numFmt w:val="bullet"/>
      <w:lvlText w:val=""/>
      <w:lvlJc w:val="left"/>
      <w:pPr>
        <w:tabs>
          <w:tab w:val="num" w:pos="2880"/>
        </w:tabs>
        <w:ind w:left="2880" w:hanging="360"/>
      </w:pPr>
      <w:rPr>
        <w:rFonts w:ascii="Symbol" w:hAnsi="Symbol" w:hint="default"/>
      </w:rPr>
    </w:lvl>
    <w:lvl w:ilvl="4" w:tplc="5FB62434" w:tentative="1">
      <w:start w:val="1"/>
      <w:numFmt w:val="bullet"/>
      <w:lvlText w:val=""/>
      <w:lvlJc w:val="left"/>
      <w:pPr>
        <w:tabs>
          <w:tab w:val="num" w:pos="3600"/>
        </w:tabs>
        <w:ind w:left="3600" w:hanging="360"/>
      </w:pPr>
      <w:rPr>
        <w:rFonts w:ascii="Symbol" w:hAnsi="Symbol" w:hint="default"/>
      </w:rPr>
    </w:lvl>
    <w:lvl w:ilvl="5" w:tplc="2F3676AC" w:tentative="1">
      <w:start w:val="1"/>
      <w:numFmt w:val="bullet"/>
      <w:lvlText w:val=""/>
      <w:lvlJc w:val="left"/>
      <w:pPr>
        <w:tabs>
          <w:tab w:val="num" w:pos="4320"/>
        </w:tabs>
        <w:ind w:left="4320" w:hanging="360"/>
      </w:pPr>
      <w:rPr>
        <w:rFonts w:ascii="Symbol" w:hAnsi="Symbol" w:hint="default"/>
      </w:rPr>
    </w:lvl>
    <w:lvl w:ilvl="6" w:tplc="21D4386E" w:tentative="1">
      <w:start w:val="1"/>
      <w:numFmt w:val="bullet"/>
      <w:lvlText w:val=""/>
      <w:lvlJc w:val="left"/>
      <w:pPr>
        <w:tabs>
          <w:tab w:val="num" w:pos="5040"/>
        </w:tabs>
        <w:ind w:left="5040" w:hanging="360"/>
      </w:pPr>
      <w:rPr>
        <w:rFonts w:ascii="Symbol" w:hAnsi="Symbol" w:hint="default"/>
      </w:rPr>
    </w:lvl>
    <w:lvl w:ilvl="7" w:tplc="489260C2" w:tentative="1">
      <w:start w:val="1"/>
      <w:numFmt w:val="bullet"/>
      <w:lvlText w:val=""/>
      <w:lvlJc w:val="left"/>
      <w:pPr>
        <w:tabs>
          <w:tab w:val="num" w:pos="5760"/>
        </w:tabs>
        <w:ind w:left="5760" w:hanging="360"/>
      </w:pPr>
      <w:rPr>
        <w:rFonts w:ascii="Symbol" w:hAnsi="Symbol" w:hint="default"/>
      </w:rPr>
    </w:lvl>
    <w:lvl w:ilvl="8" w:tplc="6F02F802"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4"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D371E55"/>
    <w:multiLevelType w:val="hybridMultilevel"/>
    <w:tmpl w:val="ADF40728"/>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56" w15:restartNumberingAfterBreak="0">
    <w:nsid w:val="6D674F67"/>
    <w:multiLevelType w:val="hybridMultilevel"/>
    <w:tmpl w:val="37D450D4"/>
    <w:lvl w:ilvl="0" w:tplc="04090001">
      <w:start w:val="1"/>
      <w:numFmt w:val="bullet"/>
      <w:lvlText w:val=""/>
      <w:lvlJc w:val="left"/>
      <w:pPr>
        <w:ind w:left="720" w:hanging="360"/>
      </w:pPr>
      <w:rPr>
        <w:rFonts w:ascii="Symbol" w:hAnsi="Symbol" w:hint="default"/>
      </w:rPr>
    </w:lvl>
    <w:lvl w:ilvl="1" w:tplc="6D12B1C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2"/>
  </w:num>
  <w:num w:numId="5" w16cid:durableId="19949176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5"/>
  </w:num>
  <w:num w:numId="8" w16cid:durableId="66853061">
    <w:abstractNumId w:val="6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9"/>
  </w:num>
  <w:num w:numId="11" w16cid:durableId="658192778">
    <w:abstractNumId w:val="57"/>
  </w:num>
  <w:num w:numId="12" w16cid:durableId="1683971953">
    <w:abstractNumId w:val="38"/>
  </w:num>
  <w:num w:numId="13" w16cid:durableId="1802336773">
    <w:abstractNumId w:val="58"/>
  </w:num>
  <w:num w:numId="14" w16cid:durableId="183179212">
    <w:abstractNumId w:val="13"/>
  </w:num>
  <w:num w:numId="15" w16cid:durableId="101072845">
    <w:abstractNumId w:val="2"/>
  </w:num>
  <w:num w:numId="16" w16cid:durableId="1671985423">
    <w:abstractNumId w:val="63"/>
  </w:num>
  <w:num w:numId="17" w16cid:durableId="527718403">
    <w:abstractNumId w:val="11"/>
  </w:num>
  <w:num w:numId="18" w16cid:durableId="336426665">
    <w:abstractNumId w:val="45"/>
  </w:num>
  <w:num w:numId="19" w16cid:durableId="314071016">
    <w:abstractNumId w:val="7"/>
  </w:num>
  <w:num w:numId="20" w16cid:durableId="254241833">
    <w:abstractNumId w:val="16"/>
  </w:num>
  <w:num w:numId="21" w16cid:durableId="2056931042">
    <w:abstractNumId w:val="37"/>
  </w:num>
  <w:num w:numId="22" w16cid:durableId="277881800">
    <w:abstractNumId w:val="42"/>
  </w:num>
  <w:num w:numId="23" w16cid:durableId="2121104171">
    <w:abstractNumId w:val="28"/>
  </w:num>
  <w:num w:numId="24" w16cid:durableId="1956054883">
    <w:abstractNumId w:val="23"/>
  </w:num>
  <w:num w:numId="25" w16cid:durableId="1143275559">
    <w:abstractNumId w:val="30"/>
  </w:num>
  <w:num w:numId="26" w16cid:durableId="337998213">
    <w:abstractNumId w:val="31"/>
  </w:num>
  <w:num w:numId="27" w16cid:durableId="753867088">
    <w:abstractNumId w:val="26"/>
  </w:num>
  <w:num w:numId="28" w16cid:durableId="1388605013">
    <w:abstractNumId w:val="24"/>
  </w:num>
  <w:num w:numId="29" w16cid:durableId="1194684424">
    <w:abstractNumId w:val="32"/>
  </w:num>
  <w:num w:numId="30" w16cid:durableId="195780968">
    <w:abstractNumId w:val="47"/>
  </w:num>
  <w:num w:numId="31" w16cid:durableId="43145658">
    <w:abstractNumId w:val="41"/>
  </w:num>
  <w:num w:numId="32" w16cid:durableId="840119956">
    <w:abstractNumId w:val="61"/>
  </w:num>
  <w:num w:numId="33" w16cid:durableId="788086887">
    <w:abstractNumId w:val="54"/>
  </w:num>
  <w:num w:numId="34" w16cid:durableId="1075589885">
    <w:abstractNumId w:val="27"/>
  </w:num>
  <w:num w:numId="35" w16cid:durableId="1071587299">
    <w:abstractNumId w:val="59"/>
  </w:num>
  <w:num w:numId="36" w16cid:durableId="1091851232">
    <w:abstractNumId w:val="52"/>
  </w:num>
  <w:num w:numId="37" w16cid:durableId="1931697551">
    <w:abstractNumId w:val="25"/>
  </w:num>
  <w:num w:numId="38" w16cid:durableId="1849905691">
    <w:abstractNumId w:val="43"/>
  </w:num>
  <w:num w:numId="39" w16cid:durableId="276916249">
    <w:abstractNumId w:val="60"/>
  </w:num>
  <w:num w:numId="40" w16cid:durableId="935945555">
    <w:abstractNumId w:val="10"/>
  </w:num>
  <w:num w:numId="41" w16cid:durableId="1093478076">
    <w:abstractNumId w:val="15"/>
  </w:num>
  <w:num w:numId="42" w16cid:durableId="1347514231">
    <w:abstractNumId w:val="64"/>
  </w:num>
  <w:num w:numId="43" w16cid:durableId="30151458">
    <w:abstractNumId w:val="0"/>
  </w:num>
  <w:num w:numId="44" w16cid:durableId="207424313">
    <w:abstractNumId w:val="48"/>
  </w:num>
  <w:num w:numId="45" w16cid:durableId="1443723114">
    <w:abstractNumId w:val="49"/>
  </w:num>
  <w:num w:numId="46" w16cid:durableId="1609892873">
    <w:abstractNumId w:val="36"/>
  </w:num>
  <w:num w:numId="47" w16cid:durableId="966543058">
    <w:abstractNumId w:val="39"/>
  </w:num>
  <w:num w:numId="48" w16cid:durableId="2035420080">
    <w:abstractNumId w:val="12"/>
  </w:num>
  <w:num w:numId="49" w16cid:durableId="1083143886">
    <w:abstractNumId w:val="51"/>
  </w:num>
  <w:num w:numId="50" w16cid:durableId="166945364">
    <w:abstractNumId w:val="4"/>
  </w:num>
  <w:num w:numId="51" w16cid:durableId="59714487">
    <w:abstractNumId w:val="20"/>
  </w:num>
  <w:num w:numId="52" w16cid:durableId="1453204654">
    <w:abstractNumId w:val="3"/>
  </w:num>
  <w:num w:numId="53" w16cid:durableId="2112234269">
    <w:abstractNumId w:val="50"/>
  </w:num>
  <w:num w:numId="54" w16cid:durableId="1452824539">
    <w:abstractNumId w:val="21"/>
  </w:num>
  <w:num w:numId="55" w16cid:durableId="1971284806">
    <w:abstractNumId w:val="14"/>
  </w:num>
  <w:num w:numId="56" w16cid:durableId="1893927055">
    <w:abstractNumId w:val="5"/>
  </w:num>
  <w:num w:numId="57" w16cid:durableId="1050767340">
    <w:abstractNumId w:val="40"/>
  </w:num>
  <w:num w:numId="58" w16cid:durableId="1937132579">
    <w:abstractNumId w:val="19"/>
  </w:num>
  <w:num w:numId="59" w16cid:durableId="1386103137">
    <w:abstractNumId w:val="56"/>
  </w:num>
  <w:num w:numId="60" w16cid:durableId="580606643">
    <w:abstractNumId w:val="33"/>
  </w:num>
  <w:num w:numId="61" w16cid:durableId="537543932">
    <w:abstractNumId w:val="22"/>
  </w:num>
  <w:num w:numId="62" w16cid:durableId="1204055655">
    <w:abstractNumId w:val="17"/>
  </w:num>
  <w:num w:numId="63" w16cid:durableId="416102358">
    <w:abstractNumId w:val="44"/>
  </w:num>
  <w:num w:numId="64" w16cid:durableId="711998340">
    <w:abstractNumId w:val="29"/>
  </w:num>
  <w:num w:numId="65" w16cid:durableId="820853775">
    <w:abstractNumId w:val="34"/>
  </w:num>
  <w:num w:numId="66" w16cid:durableId="141968678">
    <w:abstractNumId w:val="18"/>
  </w:num>
  <w:num w:numId="67" w16cid:durableId="1205679942">
    <w:abstractNumId w:val="6"/>
  </w:num>
  <w:num w:numId="68" w16cid:durableId="2106222057">
    <w:abstractNumId w:val="55"/>
  </w:num>
  <w:num w:numId="69" w16cid:durableId="1085033903">
    <w:abstractNumId w:val="4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F1"/>
    <w:rsid w:val="0000029C"/>
    <w:rsid w:val="0000091E"/>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1E9"/>
    <w:rsid w:val="0002052C"/>
    <w:rsid w:val="00021743"/>
    <w:rsid w:val="00021CAE"/>
    <w:rsid w:val="00021EE3"/>
    <w:rsid w:val="00021F19"/>
    <w:rsid w:val="000224EE"/>
    <w:rsid w:val="00023463"/>
    <w:rsid w:val="0002357C"/>
    <w:rsid w:val="00023708"/>
    <w:rsid w:val="00024338"/>
    <w:rsid w:val="000243FC"/>
    <w:rsid w:val="00024952"/>
    <w:rsid w:val="00025358"/>
    <w:rsid w:val="000255E6"/>
    <w:rsid w:val="00025658"/>
    <w:rsid w:val="000259ED"/>
    <w:rsid w:val="00025E46"/>
    <w:rsid w:val="000268B8"/>
    <w:rsid w:val="00026ED2"/>
    <w:rsid w:val="00026F21"/>
    <w:rsid w:val="00027CB7"/>
    <w:rsid w:val="000301DB"/>
    <w:rsid w:val="0003026B"/>
    <w:rsid w:val="000302CC"/>
    <w:rsid w:val="000318BF"/>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4F13"/>
    <w:rsid w:val="000459BE"/>
    <w:rsid w:val="00045E08"/>
    <w:rsid w:val="00050318"/>
    <w:rsid w:val="00050545"/>
    <w:rsid w:val="00050957"/>
    <w:rsid w:val="00051788"/>
    <w:rsid w:val="00051AA2"/>
    <w:rsid w:val="00051C39"/>
    <w:rsid w:val="00051D27"/>
    <w:rsid w:val="000523C0"/>
    <w:rsid w:val="000527A5"/>
    <w:rsid w:val="000531E5"/>
    <w:rsid w:val="00053474"/>
    <w:rsid w:val="00053B21"/>
    <w:rsid w:val="00053BDB"/>
    <w:rsid w:val="00054BC2"/>
    <w:rsid w:val="000554F4"/>
    <w:rsid w:val="0005634C"/>
    <w:rsid w:val="00056D35"/>
    <w:rsid w:val="00056E8E"/>
    <w:rsid w:val="00056EDD"/>
    <w:rsid w:val="00056FBB"/>
    <w:rsid w:val="00057129"/>
    <w:rsid w:val="0005737D"/>
    <w:rsid w:val="000578FA"/>
    <w:rsid w:val="00057DED"/>
    <w:rsid w:val="00060CF2"/>
    <w:rsid w:val="00060EEF"/>
    <w:rsid w:val="00061A8B"/>
    <w:rsid w:val="00062E63"/>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77FD6"/>
    <w:rsid w:val="000800DC"/>
    <w:rsid w:val="000808D2"/>
    <w:rsid w:val="00081275"/>
    <w:rsid w:val="00081E65"/>
    <w:rsid w:val="00082D9A"/>
    <w:rsid w:val="00082E1A"/>
    <w:rsid w:val="00083DCB"/>
    <w:rsid w:val="000840C0"/>
    <w:rsid w:val="00085222"/>
    <w:rsid w:val="0008566E"/>
    <w:rsid w:val="000858A1"/>
    <w:rsid w:val="000864C9"/>
    <w:rsid w:val="00086EB0"/>
    <w:rsid w:val="00087799"/>
    <w:rsid w:val="000906ED"/>
    <w:rsid w:val="00090EB1"/>
    <w:rsid w:val="00091476"/>
    <w:rsid w:val="0009154D"/>
    <w:rsid w:val="00092D2C"/>
    <w:rsid w:val="0009326E"/>
    <w:rsid w:val="0009336F"/>
    <w:rsid w:val="00093FD9"/>
    <w:rsid w:val="00094B75"/>
    <w:rsid w:val="00094BBF"/>
    <w:rsid w:val="00094D01"/>
    <w:rsid w:val="00095687"/>
    <w:rsid w:val="00095D89"/>
    <w:rsid w:val="000962AD"/>
    <w:rsid w:val="000968A7"/>
    <w:rsid w:val="00097274"/>
    <w:rsid w:val="00097B64"/>
    <w:rsid w:val="00097E22"/>
    <w:rsid w:val="00097E2C"/>
    <w:rsid w:val="000A00B8"/>
    <w:rsid w:val="000A01EE"/>
    <w:rsid w:val="000A0579"/>
    <w:rsid w:val="000A06A9"/>
    <w:rsid w:val="000A0A66"/>
    <w:rsid w:val="000A0E4A"/>
    <w:rsid w:val="000A11B4"/>
    <w:rsid w:val="000A1E9C"/>
    <w:rsid w:val="000A25FD"/>
    <w:rsid w:val="000A2628"/>
    <w:rsid w:val="000A35F8"/>
    <w:rsid w:val="000A3C2D"/>
    <w:rsid w:val="000A3E09"/>
    <w:rsid w:val="000A505A"/>
    <w:rsid w:val="000A595A"/>
    <w:rsid w:val="000A59EA"/>
    <w:rsid w:val="000A67D0"/>
    <w:rsid w:val="000A7CED"/>
    <w:rsid w:val="000B17DF"/>
    <w:rsid w:val="000B19D0"/>
    <w:rsid w:val="000B2D8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4F2"/>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6303"/>
    <w:rsid w:val="000F73C0"/>
    <w:rsid w:val="000F7CF0"/>
    <w:rsid w:val="00100FA4"/>
    <w:rsid w:val="001013C0"/>
    <w:rsid w:val="00101571"/>
    <w:rsid w:val="00102195"/>
    <w:rsid w:val="00102C01"/>
    <w:rsid w:val="0010478B"/>
    <w:rsid w:val="00104EFB"/>
    <w:rsid w:val="00105513"/>
    <w:rsid w:val="0010588B"/>
    <w:rsid w:val="00106747"/>
    <w:rsid w:val="00106FFC"/>
    <w:rsid w:val="001073FB"/>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D82"/>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74"/>
    <w:rsid w:val="00126AA3"/>
    <w:rsid w:val="00126D1A"/>
    <w:rsid w:val="00131046"/>
    <w:rsid w:val="001318C8"/>
    <w:rsid w:val="00131FC6"/>
    <w:rsid w:val="001325E9"/>
    <w:rsid w:val="00132EBF"/>
    <w:rsid w:val="00132F37"/>
    <w:rsid w:val="00133A0A"/>
    <w:rsid w:val="001346E3"/>
    <w:rsid w:val="00134D3E"/>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15E"/>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E36"/>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961"/>
    <w:rsid w:val="001873FF"/>
    <w:rsid w:val="0018757B"/>
    <w:rsid w:val="0018776C"/>
    <w:rsid w:val="00187897"/>
    <w:rsid w:val="00187A7A"/>
    <w:rsid w:val="00190181"/>
    <w:rsid w:val="001918DB"/>
    <w:rsid w:val="001920C9"/>
    <w:rsid w:val="00192258"/>
    <w:rsid w:val="00193374"/>
    <w:rsid w:val="001939E6"/>
    <w:rsid w:val="00193B86"/>
    <w:rsid w:val="00194684"/>
    <w:rsid w:val="00194909"/>
    <w:rsid w:val="00194DA2"/>
    <w:rsid w:val="0019535E"/>
    <w:rsid w:val="001966FA"/>
    <w:rsid w:val="0019671F"/>
    <w:rsid w:val="001968C8"/>
    <w:rsid w:val="00196A7C"/>
    <w:rsid w:val="001970AB"/>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3801"/>
    <w:rsid w:val="001C4B85"/>
    <w:rsid w:val="001C5179"/>
    <w:rsid w:val="001C57E6"/>
    <w:rsid w:val="001C5B8F"/>
    <w:rsid w:val="001C6634"/>
    <w:rsid w:val="001C6638"/>
    <w:rsid w:val="001C79BE"/>
    <w:rsid w:val="001C7AD6"/>
    <w:rsid w:val="001D0D3C"/>
    <w:rsid w:val="001D0DC4"/>
    <w:rsid w:val="001D1352"/>
    <w:rsid w:val="001D1853"/>
    <w:rsid w:val="001D24FB"/>
    <w:rsid w:val="001D3529"/>
    <w:rsid w:val="001D5057"/>
    <w:rsid w:val="001D5DEE"/>
    <w:rsid w:val="001D6F61"/>
    <w:rsid w:val="001D714B"/>
    <w:rsid w:val="001D796C"/>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0B6"/>
    <w:rsid w:val="001F2F33"/>
    <w:rsid w:val="001F479A"/>
    <w:rsid w:val="001F59EF"/>
    <w:rsid w:val="001F63EF"/>
    <w:rsid w:val="001F65D9"/>
    <w:rsid w:val="001F715B"/>
    <w:rsid w:val="00200136"/>
    <w:rsid w:val="002018D3"/>
    <w:rsid w:val="00201E08"/>
    <w:rsid w:val="00202AD7"/>
    <w:rsid w:val="00202ADF"/>
    <w:rsid w:val="00203C24"/>
    <w:rsid w:val="00203FC0"/>
    <w:rsid w:val="00205CC9"/>
    <w:rsid w:val="00205E99"/>
    <w:rsid w:val="00206DEC"/>
    <w:rsid w:val="002072A9"/>
    <w:rsid w:val="00207BC3"/>
    <w:rsid w:val="002104DB"/>
    <w:rsid w:val="00210573"/>
    <w:rsid w:val="00210DE4"/>
    <w:rsid w:val="002111B2"/>
    <w:rsid w:val="00212570"/>
    <w:rsid w:val="0021369B"/>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190"/>
    <w:rsid w:val="00226CE0"/>
    <w:rsid w:val="00226D25"/>
    <w:rsid w:val="00227B2B"/>
    <w:rsid w:val="00227E27"/>
    <w:rsid w:val="00227FE1"/>
    <w:rsid w:val="00230324"/>
    <w:rsid w:val="00230327"/>
    <w:rsid w:val="00230984"/>
    <w:rsid w:val="00231F46"/>
    <w:rsid w:val="002332D6"/>
    <w:rsid w:val="00233386"/>
    <w:rsid w:val="00233581"/>
    <w:rsid w:val="002343FF"/>
    <w:rsid w:val="002346F9"/>
    <w:rsid w:val="00234CC7"/>
    <w:rsid w:val="002352A1"/>
    <w:rsid w:val="00235D67"/>
    <w:rsid w:val="00236B44"/>
    <w:rsid w:val="00236D56"/>
    <w:rsid w:val="00237CD3"/>
    <w:rsid w:val="00237FDA"/>
    <w:rsid w:val="002408BE"/>
    <w:rsid w:val="00241281"/>
    <w:rsid w:val="00241ACF"/>
    <w:rsid w:val="00241BA5"/>
    <w:rsid w:val="00242B77"/>
    <w:rsid w:val="0024363C"/>
    <w:rsid w:val="00244349"/>
    <w:rsid w:val="00245B24"/>
    <w:rsid w:val="00246B61"/>
    <w:rsid w:val="00247AF0"/>
    <w:rsid w:val="00250218"/>
    <w:rsid w:val="00250262"/>
    <w:rsid w:val="002509D0"/>
    <w:rsid w:val="002514C3"/>
    <w:rsid w:val="00251B15"/>
    <w:rsid w:val="0025242B"/>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4CCF"/>
    <w:rsid w:val="00275844"/>
    <w:rsid w:val="0027597C"/>
    <w:rsid w:val="00275C10"/>
    <w:rsid w:val="00276050"/>
    <w:rsid w:val="00276891"/>
    <w:rsid w:val="002772D9"/>
    <w:rsid w:val="00277997"/>
    <w:rsid w:val="00277CA2"/>
    <w:rsid w:val="00280E39"/>
    <w:rsid w:val="00280F22"/>
    <w:rsid w:val="00281795"/>
    <w:rsid w:val="00281956"/>
    <w:rsid w:val="00282398"/>
    <w:rsid w:val="002825A1"/>
    <w:rsid w:val="0028322C"/>
    <w:rsid w:val="002835C8"/>
    <w:rsid w:val="00283B69"/>
    <w:rsid w:val="00283CE0"/>
    <w:rsid w:val="00284F70"/>
    <w:rsid w:val="00285ECD"/>
    <w:rsid w:val="0028616A"/>
    <w:rsid w:val="002865A0"/>
    <w:rsid w:val="00287178"/>
    <w:rsid w:val="0028784E"/>
    <w:rsid w:val="00291C33"/>
    <w:rsid w:val="0029215C"/>
    <w:rsid w:val="002941B3"/>
    <w:rsid w:val="002954CC"/>
    <w:rsid w:val="002954F1"/>
    <w:rsid w:val="00295F08"/>
    <w:rsid w:val="002961B9"/>
    <w:rsid w:val="00296BEB"/>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494A"/>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3A6D"/>
    <w:rsid w:val="002D3DB0"/>
    <w:rsid w:val="002D3EAD"/>
    <w:rsid w:val="002D3F24"/>
    <w:rsid w:val="002D4269"/>
    <w:rsid w:val="002D4588"/>
    <w:rsid w:val="002D462A"/>
    <w:rsid w:val="002D46C6"/>
    <w:rsid w:val="002D53B5"/>
    <w:rsid w:val="002D5F15"/>
    <w:rsid w:val="002D621A"/>
    <w:rsid w:val="002D64CA"/>
    <w:rsid w:val="002D6A82"/>
    <w:rsid w:val="002D6DED"/>
    <w:rsid w:val="002D73CC"/>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ECD"/>
    <w:rsid w:val="002F2F17"/>
    <w:rsid w:val="002F33B8"/>
    <w:rsid w:val="002F38BB"/>
    <w:rsid w:val="002F3E1D"/>
    <w:rsid w:val="002F499E"/>
    <w:rsid w:val="002F5AE4"/>
    <w:rsid w:val="002F6C18"/>
    <w:rsid w:val="002F6CFC"/>
    <w:rsid w:val="002F6F83"/>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33CF"/>
    <w:rsid w:val="0031419F"/>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9BE"/>
    <w:rsid w:val="0035099A"/>
    <w:rsid w:val="003519AF"/>
    <w:rsid w:val="00351D7D"/>
    <w:rsid w:val="003521A7"/>
    <w:rsid w:val="003527DD"/>
    <w:rsid w:val="00352C9D"/>
    <w:rsid w:val="00353E99"/>
    <w:rsid w:val="003542FC"/>
    <w:rsid w:val="00354969"/>
    <w:rsid w:val="00354AC7"/>
    <w:rsid w:val="003555DE"/>
    <w:rsid w:val="003567BE"/>
    <w:rsid w:val="00356DED"/>
    <w:rsid w:val="00356FD9"/>
    <w:rsid w:val="00360017"/>
    <w:rsid w:val="00360436"/>
    <w:rsid w:val="00360F8E"/>
    <w:rsid w:val="00361280"/>
    <w:rsid w:val="00362BA6"/>
    <w:rsid w:val="00362E22"/>
    <w:rsid w:val="00362F54"/>
    <w:rsid w:val="00362F57"/>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65B"/>
    <w:rsid w:val="003A2A44"/>
    <w:rsid w:val="003A2E6A"/>
    <w:rsid w:val="003A399C"/>
    <w:rsid w:val="003A3C1B"/>
    <w:rsid w:val="003A3DCD"/>
    <w:rsid w:val="003A43DE"/>
    <w:rsid w:val="003A49B5"/>
    <w:rsid w:val="003A7249"/>
    <w:rsid w:val="003A73FF"/>
    <w:rsid w:val="003A7912"/>
    <w:rsid w:val="003B036E"/>
    <w:rsid w:val="003B0971"/>
    <w:rsid w:val="003B0A14"/>
    <w:rsid w:val="003B1940"/>
    <w:rsid w:val="003B2462"/>
    <w:rsid w:val="003B246F"/>
    <w:rsid w:val="003B3B3F"/>
    <w:rsid w:val="003B3E7E"/>
    <w:rsid w:val="003B52C4"/>
    <w:rsid w:val="003B5CAB"/>
    <w:rsid w:val="003B7066"/>
    <w:rsid w:val="003B78AC"/>
    <w:rsid w:val="003B7EC1"/>
    <w:rsid w:val="003C0024"/>
    <w:rsid w:val="003C00A2"/>
    <w:rsid w:val="003C0A81"/>
    <w:rsid w:val="003C1CCC"/>
    <w:rsid w:val="003C2043"/>
    <w:rsid w:val="003C2250"/>
    <w:rsid w:val="003C2D69"/>
    <w:rsid w:val="003C4463"/>
    <w:rsid w:val="003C4CAB"/>
    <w:rsid w:val="003C4E9F"/>
    <w:rsid w:val="003C659F"/>
    <w:rsid w:val="003C699C"/>
    <w:rsid w:val="003C6C85"/>
    <w:rsid w:val="003C6F58"/>
    <w:rsid w:val="003C7B4E"/>
    <w:rsid w:val="003C7BD5"/>
    <w:rsid w:val="003D0A6E"/>
    <w:rsid w:val="003D0AAA"/>
    <w:rsid w:val="003D228F"/>
    <w:rsid w:val="003D38E4"/>
    <w:rsid w:val="003D47C3"/>
    <w:rsid w:val="003D4CEC"/>
    <w:rsid w:val="003D4EF2"/>
    <w:rsid w:val="003D56B5"/>
    <w:rsid w:val="003D59D5"/>
    <w:rsid w:val="003D5DEA"/>
    <w:rsid w:val="003D5E81"/>
    <w:rsid w:val="003D5EF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C7D"/>
    <w:rsid w:val="003F3D76"/>
    <w:rsid w:val="003F4307"/>
    <w:rsid w:val="003F436C"/>
    <w:rsid w:val="003F46D1"/>
    <w:rsid w:val="003F6FBE"/>
    <w:rsid w:val="003F727B"/>
    <w:rsid w:val="003F77E2"/>
    <w:rsid w:val="003F7B77"/>
    <w:rsid w:val="00401245"/>
    <w:rsid w:val="004013F3"/>
    <w:rsid w:val="00401418"/>
    <w:rsid w:val="004022CB"/>
    <w:rsid w:val="004023F2"/>
    <w:rsid w:val="004035DE"/>
    <w:rsid w:val="004056CB"/>
    <w:rsid w:val="00406096"/>
    <w:rsid w:val="004073E7"/>
    <w:rsid w:val="00407A1A"/>
    <w:rsid w:val="00407B4B"/>
    <w:rsid w:val="00407D5E"/>
    <w:rsid w:val="00411C70"/>
    <w:rsid w:val="00411F08"/>
    <w:rsid w:val="00412074"/>
    <w:rsid w:val="0041246A"/>
    <w:rsid w:val="0041291C"/>
    <w:rsid w:val="00412F8E"/>
    <w:rsid w:val="004130E6"/>
    <w:rsid w:val="00413B3A"/>
    <w:rsid w:val="00414678"/>
    <w:rsid w:val="00414C67"/>
    <w:rsid w:val="00414EA0"/>
    <w:rsid w:val="004155EE"/>
    <w:rsid w:val="00415773"/>
    <w:rsid w:val="004158D4"/>
    <w:rsid w:val="00415A2F"/>
    <w:rsid w:val="0041690F"/>
    <w:rsid w:val="00416AE9"/>
    <w:rsid w:val="004209ED"/>
    <w:rsid w:val="00421C9C"/>
    <w:rsid w:val="00423275"/>
    <w:rsid w:val="0042414A"/>
    <w:rsid w:val="00424321"/>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451"/>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2E8F"/>
    <w:rsid w:val="004530B2"/>
    <w:rsid w:val="00454FEA"/>
    <w:rsid w:val="004564B4"/>
    <w:rsid w:val="004570AC"/>
    <w:rsid w:val="00457CEC"/>
    <w:rsid w:val="00457D58"/>
    <w:rsid w:val="004603FC"/>
    <w:rsid w:val="004611DF"/>
    <w:rsid w:val="0046122B"/>
    <w:rsid w:val="00461410"/>
    <w:rsid w:val="00462401"/>
    <w:rsid w:val="00463D7D"/>
    <w:rsid w:val="00463EFD"/>
    <w:rsid w:val="00464E07"/>
    <w:rsid w:val="00465150"/>
    <w:rsid w:val="0046674D"/>
    <w:rsid w:val="00466E10"/>
    <w:rsid w:val="0046704B"/>
    <w:rsid w:val="00467F04"/>
    <w:rsid w:val="004713C1"/>
    <w:rsid w:val="004716C4"/>
    <w:rsid w:val="00471C21"/>
    <w:rsid w:val="0047216D"/>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A05"/>
    <w:rsid w:val="004A4CC8"/>
    <w:rsid w:val="004A5211"/>
    <w:rsid w:val="004A525E"/>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828"/>
    <w:rsid w:val="004C094C"/>
    <w:rsid w:val="004C0C33"/>
    <w:rsid w:val="004C0D4F"/>
    <w:rsid w:val="004C3495"/>
    <w:rsid w:val="004C3603"/>
    <w:rsid w:val="004C3D17"/>
    <w:rsid w:val="004C41DC"/>
    <w:rsid w:val="004C48D3"/>
    <w:rsid w:val="004C74E9"/>
    <w:rsid w:val="004C7F1F"/>
    <w:rsid w:val="004D09CC"/>
    <w:rsid w:val="004D1B24"/>
    <w:rsid w:val="004D1B6D"/>
    <w:rsid w:val="004D2E1C"/>
    <w:rsid w:val="004D3652"/>
    <w:rsid w:val="004D38D7"/>
    <w:rsid w:val="004D4494"/>
    <w:rsid w:val="004D48B4"/>
    <w:rsid w:val="004D4B1A"/>
    <w:rsid w:val="004D4D0C"/>
    <w:rsid w:val="004D4ED2"/>
    <w:rsid w:val="004D5613"/>
    <w:rsid w:val="004D569C"/>
    <w:rsid w:val="004D63AF"/>
    <w:rsid w:val="004E04C9"/>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D7E"/>
    <w:rsid w:val="004F1F7F"/>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4056"/>
    <w:rsid w:val="005048AA"/>
    <w:rsid w:val="005063B3"/>
    <w:rsid w:val="0050694D"/>
    <w:rsid w:val="00506B77"/>
    <w:rsid w:val="00507AA3"/>
    <w:rsid w:val="005102AE"/>
    <w:rsid w:val="005102D5"/>
    <w:rsid w:val="00510895"/>
    <w:rsid w:val="0051133A"/>
    <w:rsid w:val="0051176D"/>
    <w:rsid w:val="00512086"/>
    <w:rsid w:val="00512999"/>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6D8"/>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816"/>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5DA6"/>
    <w:rsid w:val="00556460"/>
    <w:rsid w:val="0055702A"/>
    <w:rsid w:val="005572CC"/>
    <w:rsid w:val="00557767"/>
    <w:rsid w:val="005610EE"/>
    <w:rsid w:val="0056119B"/>
    <w:rsid w:val="00561599"/>
    <w:rsid w:val="00562102"/>
    <w:rsid w:val="005631E1"/>
    <w:rsid w:val="0056322F"/>
    <w:rsid w:val="0056761B"/>
    <w:rsid w:val="005704EA"/>
    <w:rsid w:val="00571DA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0D8B"/>
    <w:rsid w:val="00590F06"/>
    <w:rsid w:val="00592401"/>
    <w:rsid w:val="00592642"/>
    <w:rsid w:val="00592D57"/>
    <w:rsid w:val="00594503"/>
    <w:rsid w:val="00594C22"/>
    <w:rsid w:val="00594C68"/>
    <w:rsid w:val="00595549"/>
    <w:rsid w:val="00596454"/>
    <w:rsid w:val="00596D2E"/>
    <w:rsid w:val="005A002B"/>
    <w:rsid w:val="005A1E0E"/>
    <w:rsid w:val="005A1FEC"/>
    <w:rsid w:val="005A3799"/>
    <w:rsid w:val="005A3D78"/>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281"/>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3C28"/>
    <w:rsid w:val="005D41F4"/>
    <w:rsid w:val="005D4625"/>
    <w:rsid w:val="005D463B"/>
    <w:rsid w:val="005D4B2B"/>
    <w:rsid w:val="005D595E"/>
    <w:rsid w:val="005D64E5"/>
    <w:rsid w:val="005D69F7"/>
    <w:rsid w:val="005E1E9C"/>
    <w:rsid w:val="005E1FEF"/>
    <w:rsid w:val="005E2C2C"/>
    <w:rsid w:val="005E345A"/>
    <w:rsid w:val="005E4261"/>
    <w:rsid w:val="005E477E"/>
    <w:rsid w:val="005E480F"/>
    <w:rsid w:val="005E64C8"/>
    <w:rsid w:val="005E6539"/>
    <w:rsid w:val="005E69DE"/>
    <w:rsid w:val="005E6EFD"/>
    <w:rsid w:val="005E7A6E"/>
    <w:rsid w:val="005F04E2"/>
    <w:rsid w:val="005F11C1"/>
    <w:rsid w:val="005F122C"/>
    <w:rsid w:val="005F1520"/>
    <w:rsid w:val="005F19E1"/>
    <w:rsid w:val="005F1A62"/>
    <w:rsid w:val="005F2074"/>
    <w:rsid w:val="005F22AD"/>
    <w:rsid w:val="005F234D"/>
    <w:rsid w:val="005F2A6A"/>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553"/>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931"/>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6"/>
    <w:rsid w:val="00672D22"/>
    <w:rsid w:val="00673261"/>
    <w:rsid w:val="00673D7E"/>
    <w:rsid w:val="00674EEF"/>
    <w:rsid w:val="0067516A"/>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63C2"/>
    <w:rsid w:val="006877DB"/>
    <w:rsid w:val="00687842"/>
    <w:rsid w:val="00687C17"/>
    <w:rsid w:val="0069017A"/>
    <w:rsid w:val="00690490"/>
    <w:rsid w:val="006918EE"/>
    <w:rsid w:val="00691F11"/>
    <w:rsid w:val="00692682"/>
    <w:rsid w:val="00692A6A"/>
    <w:rsid w:val="00692F61"/>
    <w:rsid w:val="00692F75"/>
    <w:rsid w:val="0069304D"/>
    <w:rsid w:val="00694373"/>
    <w:rsid w:val="0069504A"/>
    <w:rsid w:val="00695051"/>
    <w:rsid w:val="00695558"/>
    <w:rsid w:val="00695FEA"/>
    <w:rsid w:val="0069618B"/>
    <w:rsid w:val="0069658E"/>
    <w:rsid w:val="00696C66"/>
    <w:rsid w:val="006A05A5"/>
    <w:rsid w:val="006A0CBB"/>
    <w:rsid w:val="006A1353"/>
    <w:rsid w:val="006A2AED"/>
    <w:rsid w:val="006A2C54"/>
    <w:rsid w:val="006A3B3B"/>
    <w:rsid w:val="006A48AC"/>
    <w:rsid w:val="006A4A7F"/>
    <w:rsid w:val="006A6971"/>
    <w:rsid w:val="006A6E83"/>
    <w:rsid w:val="006A7F13"/>
    <w:rsid w:val="006A7F66"/>
    <w:rsid w:val="006B0442"/>
    <w:rsid w:val="006B04EF"/>
    <w:rsid w:val="006B2AF3"/>
    <w:rsid w:val="006B4BDB"/>
    <w:rsid w:val="006B50FA"/>
    <w:rsid w:val="006B5570"/>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4FE"/>
    <w:rsid w:val="006C6843"/>
    <w:rsid w:val="006C6FA5"/>
    <w:rsid w:val="006C7D03"/>
    <w:rsid w:val="006C7D96"/>
    <w:rsid w:val="006D0146"/>
    <w:rsid w:val="006D0182"/>
    <w:rsid w:val="006D0848"/>
    <w:rsid w:val="006D08AE"/>
    <w:rsid w:val="006D0A30"/>
    <w:rsid w:val="006D1BCA"/>
    <w:rsid w:val="006D1F2A"/>
    <w:rsid w:val="006D30E6"/>
    <w:rsid w:val="006D35B4"/>
    <w:rsid w:val="006D5047"/>
    <w:rsid w:val="006D516E"/>
    <w:rsid w:val="006D53B5"/>
    <w:rsid w:val="006D58AB"/>
    <w:rsid w:val="006D669F"/>
    <w:rsid w:val="006D7810"/>
    <w:rsid w:val="006E064C"/>
    <w:rsid w:val="006E0B5C"/>
    <w:rsid w:val="006E0C02"/>
    <w:rsid w:val="006E1452"/>
    <w:rsid w:val="006E16E6"/>
    <w:rsid w:val="006E1ECC"/>
    <w:rsid w:val="006E2D78"/>
    <w:rsid w:val="006E2E2A"/>
    <w:rsid w:val="006E390D"/>
    <w:rsid w:val="006E41D3"/>
    <w:rsid w:val="006E485F"/>
    <w:rsid w:val="006E5442"/>
    <w:rsid w:val="006E5700"/>
    <w:rsid w:val="006E5CE9"/>
    <w:rsid w:val="006E64EB"/>
    <w:rsid w:val="006E6706"/>
    <w:rsid w:val="006E673E"/>
    <w:rsid w:val="006E6835"/>
    <w:rsid w:val="006E6B0E"/>
    <w:rsid w:val="006E70D7"/>
    <w:rsid w:val="006E7539"/>
    <w:rsid w:val="006E7A02"/>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33A"/>
    <w:rsid w:val="0070671B"/>
    <w:rsid w:val="007070E1"/>
    <w:rsid w:val="00707EA1"/>
    <w:rsid w:val="007109BD"/>
    <w:rsid w:val="007113AE"/>
    <w:rsid w:val="007113C5"/>
    <w:rsid w:val="007114C7"/>
    <w:rsid w:val="007121E9"/>
    <w:rsid w:val="007122A3"/>
    <w:rsid w:val="00712CC1"/>
    <w:rsid w:val="00713027"/>
    <w:rsid w:val="007136E4"/>
    <w:rsid w:val="00713E23"/>
    <w:rsid w:val="00714382"/>
    <w:rsid w:val="00714DF4"/>
    <w:rsid w:val="00714EFB"/>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B0"/>
    <w:rsid w:val="007251C3"/>
    <w:rsid w:val="007255B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8D7"/>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6606"/>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0B3"/>
    <w:rsid w:val="007704E1"/>
    <w:rsid w:val="007709FF"/>
    <w:rsid w:val="00770B89"/>
    <w:rsid w:val="007717DE"/>
    <w:rsid w:val="00771980"/>
    <w:rsid w:val="00771EDD"/>
    <w:rsid w:val="00772586"/>
    <w:rsid w:val="007729AF"/>
    <w:rsid w:val="00772DAA"/>
    <w:rsid w:val="00772FF5"/>
    <w:rsid w:val="00773373"/>
    <w:rsid w:val="00773A5A"/>
    <w:rsid w:val="00773B3E"/>
    <w:rsid w:val="007741C0"/>
    <w:rsid w:val="0077426D"/>
    <w:rsid w:val="00775200"/>
    <w:rsid w:val="00775528"/>
    <w:rsid w:val="00776DC6"/>
    <w:rsid w:val="00777681"/>
    <w:rsid w:val="00777880"/>
    <w:rsid w:val="007806A8"/>
    <w:rsid w:val="00780A50"/>
    <w:rsid w:val="00780A97"/>
    <w:rsid w:val="00781085"/>
    <w:rsid w:val="007815D3"/>
    <w:rsid w:val="00781AB8"/>
    <w:rsid w:val="00782A33"/>
    <w:rsid w:val="0078387B"/>
    <w:rsid w:val="00784C37"/>
    <w:rsid w:val="00784D10"/>
    <w:rsid w:val="0078528E"/>
    <w:rsid w:val="00785EA1"/>
    <w:rsid w:val="00786A2A"/>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19C"/>
    <w:rsid w:val="007964C8"/>
    <w:rsid w:val="00797130"/>
    <w:rsid w:val="00797465"/>
    <w:rsid w:val="00797539"/>
    <w:rsid w:val="00797890"/>
    <w:rsid w:val="00797C3B"/>
    <w:rsid w:val="007A0FE4"/>
    <w:rsid w:val="007A1068"/>
    <w:rsid w:val="007A1117"/>
    <w:rsid w:val="007A12E6"/>
    <w:rsid w:val="007A1398"/>
    <w:rsid w:val="007A1613"/>
    <w:rsid w:val="007A1616"/>
    <w:rsid w:val="007A277D"/>
    <w:rsid w:val="007A2CB1"/>
    <w:rsid w:val="007A3388"/>
    <w:rsid w:val="007A43CC"/>
    <w:rsid w:val="007A47D8"/>
    <w:rsid w:val="007A487A"/>
    <w:rsid w:val="007A5290"/>
    <w:rsid w:val="007A5B10"/>
    <w:rsid w:val="007A5E8D"/>
    <w:rsid w:val="007A5E95"/>
    <w:rsid w:val="007A734B"/>
    <w:rsid w:val="007A79FC"/>
    <w:rsid w:val="007A7A53"/>
    <w:rsid w:val="007A7DBF"/>
    <w:rsid w:val="007B1830"/>
    <w:rsid w:val="007B2B5C"/>
    <w:rsid w:val="007B2D08"/>
    <w:rsid w:val="007B2D31"/>
    <w:rsid w:val="007B2E0F"/>
    <w:rsid w:val="007B34C2"/>
    <w:rsid w:val="007B3D65"/>
    <w:rsid w:val="007B3E2E"/>
    <w:rsid w:val="007B3EC5"/>
    <w:rsid w:val="007B4654"/>
    <w:rsid w:val="007B4666"/>
    <w:rsid w:val="007B49A9"/>
    <w:rsid w:val="007B4AAB"/>
    <w:rsid w:val="007B4FF5"/>
    <w:rsid w:val="007B503F"/>
    <w:rsid w:val="007B5A63"/>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901"/>
    <w:rsid w:val="007C6E34"/>
    <w:rsid w:val="007D0352"/>
    <w:rsid w:val="007D12BA"/>
    <w:rsid w:val="007D1486"/>
    <w:rsid w:val="007D14A1"/>
    <w:rsid w:val="007D2122"/>
    <w:rsid w:val="007D38AC"/>
    <w:rsid w:val="007D3BCC"/>
    <w:rsid w:val="007D46A9"/>
    <w:rsid w:val="007D5A11"/>
    <w:rsid w:val="007D5A49"/>
    <w:rsid w:val="007D627E"/>
    <w:rsid w:val="007D6F2A"/>
    <w:rsid w:val="007D722C"/>
    <w:rsid w:val="007D786A"/>
    <w:rsid w:val="007D7F1F"/>
    <w:rsid w:val="007E03ED"/>
    <w:rsid w:val="007E04DF"/>
    <w:rsid w:val="007E15A9"/>
    <w:rsid w:val="007E2417"/>
    <w:rsid w:val="007E2565"/>
    <w:rsid w:val="007E32C7"/>
    <w:rsid w:val="007E44F9"/>
    <w:rsid w:val="007E460F"/>
    <w:rsid w:val="007E53EC"/>
    <w:rsid w:val="007E54F5"/>
    <w:rsid w:val="007E66BC"/>
    <w:rsid w:val="007F05A9"/>
    <w:rsid w:val="007F0B3F"/>
    <w:rsid w:val="007F0BBB"/>
    <w:rsid w:val="007F17E9"/>
    <w:rsid w:val="007F1ECB"/>
    <w:rsid w:val="007F20D2"/>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28C"/>
    <w:rsid w:val="008063FE"/>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1E07"/>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48C"/>
    <w:rsid w:val="00833257"/>
    <w:rsid w:val="0083398C"/>
    <w:rsid w:val="008350AC"/>
    <w:rsid w:val="00835638"/>
    <w:rsid w:val="00835C87"/>
    <w:rsid w:val="008369BC"/>
    <w:rsid w:val="00837B23"/>
    <w:rsid w:val="00840520"/>
    <w:rsid w:val="0084060F"/>
    <w:rsid w:val="00840D1D"/>
    <w:rsid w:val="00840E13"/>
    <w:rsid w:val="00840ED7"/>
    <w:rsid w:val="00841128"/>
    <w:rsid w:val="00841A87"/>
    <w:rsid w:val="00841BFD"/>
    <w:rsid w:val="008425C0"/>
    <w:rsid w:val="008430F3"/>
    <w:rsid w:val="008432A3"/>
    <w:rsid w:val="008434F0"/>
    <w:rsid w:val="00843567"/>
    <w:rsid w:val="008439DD"/>
    <w:rsid w:val="00843E47"/>
    <w:rsid w:val="00844889"/>
    <w:rsid w:val="008448D7"/>
    <w:rsid w:val="008453CB"/>
    <w:rsid w:val="00845CC0"/>
    <w:rsid w:val="00845D84"/>
    <w:rsid w:val="00846653"/>
    <w:rsid w:val="00846721"/>
    <w:rsid w:val="00846987"/>
    <w:rsid w:val="00846E95"/>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0B9F"/>
    <w:rsid w:val="0087111E"/>
    <w:rsid w:val="00871403"/>
    <w:rsid w:val="008722C4"/>
    <w:rsid w:val="00873298"/>
    <w:rsid w:val="0087390B"/>
    <w:rsid w:val="00873941"/>
    <w:rsid w:val="00873959"/>
    <w:rsid w:val="00874380"/>
    <w:rsid w:val="00874595"/>
    <w:rsid w:val="00874AEC"/>
    <w:rsid w:val="00875752"/>
    <w:rsid w:val="0087684B"/>
    <w:rsid w:val="0087692F"/>
    <w:rsid w:val="00876EF6"/>
    <w:rsid w:val="00876F74"/>
    <w:rsid w:val="008804CD"/>
    <w:rsid w:val="008806E4"/>
    <w:rsid w:val="008809D5"/>
    <w:rsid w:val="00880DC8"/>
    <w:rsid w:val="00880E4F"/>
    <w:rsid w:val="00882774"/>
    <w:rsid w:val="00883EFD"/>
    <w:rsid w:val="0088483A"/>
    <w:rsid w:val="00884AB6"/>
    <w:rsid w:val="00885DFA"/>
    <w:rsid w:val="00886054"/>
    <w:rsid w:val="00887FA8"/>
    <w:rsid w:val="0089104A"/>
    <w:rsid w:val="00893298"/>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0D74"/>
    <w:rsid w:val="008A0D8F"/>
    <w:rsid w:val="008A1816"/>
    <w:rsid w:val="008A1E57"/>
    <w:rsid w:val="008A2144"/>
    <w:rsid w:val="008A244A"/>
    <w:rsid w:val="008A2CBD"/>
    <w:rsid w:val="008A2DA5"/>
    <w:rsid w:val="008A3CDD"/>
    <w:rsid w:val="008A3F49"/>
    <w:rsid w:val="008A4713"/>
    <w:rsid w:val="008A5B07"/>
    <w:rsid w:val="008A6BF4"/>
    <w:rsid w:val="008A71CC"/>
    <w:rsid w:val="008A74A8"/>
    <w:rsid w:val="008B0B5B"/>
    <w:rsid w:val="008B20FD"/>
    <w:rsid w:val="008B21BE"/>
    <w:rsid w:val="008B2281"/>
    <w:rsid w:val="008B2DE0"/>
    <w:rsid w:val="008B41B3"/>
    <w:rsid w:val="008B461C"/>
    <w:rsid w:val="008B4F34"/>
    <w:rsid w:val="008B595F"/>
    <w:rsid w:val="008B5DA6"/>
    <w:rsid w:val="008B5EB2"/>
    <w:rsid w:val="008B62B5"/>
    <w:rsid w:val="008B6469"/>
    <w:rsid w:val="008B695B"/>
    <w:rsid w:val="008B761E"/>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604"/>
    <w:rsid w:val="008D2A0D"/>
    <w:rsid w:val="008D3DD6"/>
    <w:rsid w:val="008D4149"/>
    <w:rsid w:val="008D447A"/>
    <w:rsid w:val="008D4D76"/>
    <w:rsid w:val="008D4DDC"/>
    <w:rsid w:val="008D4E62"/>
    <w:rsid w:val="008D5BD4"/>
    <w:rsid w:val="008D5D1C"/>
    <w:rsid w:val="008D6634"/>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465"/>
    <w:rsid w:val="009259E6"/>
    <w:rsid w:val="00926483"/>
    <w:rsid w:val="00927186"/>
    <w:rsid w:val="00930C79"/>
    <w:rsid w:val="00931141"/>
    <w:rsid w:val="009312F2"/>
    <w:rsid w:val="00931573"/>
    <w:rsid w:val="00931D05"/>
    <w:rsid w:val="00931E76"/>
    <w:rsid w:val="00931FC0"/>
    <w:rsid w:val="00933A0E"/>
    <w:rsid w:val="00933EA7"/>
    <w:rsid w:val="009341B7"/>
    <w:rsid w:val="009364AC"/>
    <w:rsid w:val="0093705D"/>
    <w:rsid w:val="00937107"/>
    <w:rsid w:val="00937797"/>
    <w:rsid w:val="0094098C"/>
    <w:rsid w:val="009422D6"/>
    <w:rsid w:val="00942D96"/>
    <w:rsid w:val="009430D3"/>
    <w:rsid w:val="00943719"/>
    <w:rsid w:val="00944D53"/>
    <w:rsid w:val="009457A7"/>
    <w:rsid w:val="00945877"/>
    <w:rsid w:val="00945A2B"/>
    <w:rsid w:val="00946CD9"/>
    <w:rsid w:val="00947140"/>
    <w:rsid w:val="009471B9"/>
    <w:rsid w:val="009479D2"/>
    <w:rsid w:val="00947F9E"/>
    <w:rsid w:val="00950212"/>
    <w:rsid w:val="00950F71"/>
    <w:rsid w:val="00950F82"/>
    <w:rsid w:val="00952AC1"/>
    <w:rsid w:val="00952C22"/>
    <w:rsid w:val="00953972"/>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6269"/>
    <w:rsid w:val="009673B5"/>
    <w:rsid w:val="00967702"/>
    <w:rsid w:val="00970A7C"/>
    <w:rsid w:val="009712EF"/>
    <w:rsid w:val="00971527"/>
    <w:rsid w:val="009715AD"/>
    <w:rsid w:val="0097246A"/>
    <w:rsid w:val="00972672"/>
    <w:rsid w:val="00973033"/>
    <w:rsid w:val="0097380E"/>
    <w:rsid w:val="009755AF"/>
    <w:rsid w:val="00975937"/>
    <w:rsid w:val="009768AE"/>
    <w:rsid w:val="009771E3"/>
    <w:rsid w:val="00980459"/>
    <w:rsid w:val="00980625"/>
    <w:rsid w:val="00983F05"/>
    <w:rsid w:val="00983F47"/>
    <w:rsid w:val="009849C3"/>
    <w:rsid w:val="009851D9"/>
    <w:rsid w:val="009856BA"/>
    <w:rsid w:val="00986153"/>
    <w:rsid w:val="00986177"/>
    <w:rsid w:val="009862D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26BE"/>
    <w:rsid w:val="009A3385"/>
    <w:rsid w:val="009A39B8"/>
    <w:rsid w:val="009A4F03"/>
    <w:rsid w:val="009A7384"/>
    <w:rsid w:val="009A7A67"/>
    <w:rsid w:val="009B027A"/>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4CC"/>
    <w:rsid w:val="009C7526"/>
    <w:rsid w:val="009C7593"/>
    <w:rsid w:val="009C7678"/>
    <w:rsid w:val="009C7860"/>
    <w:rsid w:val="009D0ED7"/>
    <w:rsid w:val="009D10E4"/>
    <w:rsid w:val="009D1827"/>
    <w:rsid w:val="009D2317"/>
    <w:rsid w:val="009D281D"/>
    <w:rsid w:val="009D29AE"/>
    <w:rsid w:val="009D2BDB"/>
    <w:rsid w:val="009D4876"/>
    <w:rsid w:val="009D48C3"/>
    <w:rsid w:val="009D4B96"/>
    <w:rsid w:val="009D4D61"/>
    <w:rsid w:val="009D56DB"/>
    <w:rsid w:val="009D57B5"/>
    <w:rsid w:val="009D732B"/>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62C"/>
    <w:rsid w:val="009F18DA"/>
    <w:rsid w:val="009F1BC3"/>
    <w:rsid w:val="009F25D0"/>
    <w:rsid w:val="009F3964"/>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452"/>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AEE"/>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B7F"/>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3A"/>
    <w:rsid w:val="00A573E4"/>
    <w:rsid w:val="00A60132"/>
    <w:rsid w:val="00A60382"/>
    <w:rsid w:val="00A60DE6"/>
    <w:rsid w:val="00A60F29"/>
    <w:rsid w:val="00A623A8"/>
    <w:rsid w:val="00A623C4"/>
    <w:rsid w:val="00A62893"/>
    <w:rsid w:val="00A62CE9"/>
    <w:rsid w:val="00A62E16"/>
    <w:rsid w:val="00A62FBC"/>
    <w:rsid w:val="00A63A24"/>
    <w:rsid w:val="00A64C07"/>
    <w:rsid w:val="00A64E58"/>
    <w:rsid w:val="00A64E9F"/>
    <w:rsid w:val="00A672A2"/>
    <w:rsid w:val="00A672F0"/>
    <w:rsid w:val="00A673D3"/>
    <w:rsid w:val="00A7135F"/>
    <w:rsid w:val="00A71652"/>
    <w:rsid w:val="00A7168C"/>
    <w:rsid w:val="00A71CA3"/>
    <w:rsid w:val="00A71FC8"/>
    <w:rsid w:val="00A72444"/>
    <w:rsid w:val="00A74196"/>
    <w:rsid w:val="00A74252"/>
    <w:rsid w:val="00A742CB"/>
    <w:rsid w:val="00A74337"/>
    <w:rsid w:val="00A74735"/>
    <w:rsid w:val="00A74974"/>
    <w:rsid w:val="00A7506F"/>
    <w:rsid w:val="00A753C9"/>
    <w:rsid w:val="00A76EAC"/>
    <w:rsid w:val="00A80A9D"/>
    <w:rsid w:val="00A819E1"/>
    <w:rsid w:val="00A820BC"/>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558"/>
    <w:rsid w:val="00AA399E"/>
    <w:rsid w:val="00AA3DE4"/>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00CE"/>
    <w:rsid w:val="00AC1043"/>
    <w:rsid w:val="00AC2096"/>
    <w:rsid w:val="00AC33D6"/>
    <w:rsid w:val="00AC3991"/>
    <w:rsid w:val="00AC3CFE"/>
    <w:rsid w:val="00AC450A"/>
    <w:rsid w:val="00AC49CD"/>
    <w:rsid w:val="00AC4A04"/>
    <w:rsid w:val="00AC5600"/>
    <w:rsid w:val="00AC5C52"/>
    <w:rsid w:val="00AC5CD8"/>
    <w:rsid w:val="00AC7546"/>
    <w:rsid w:val="00AC7DF8"/>
    <w:rsid w:val="00AD004E"/>
    <w:rsid w:val="00AD044C"/>
    <w:rsid w:val="00AD0869"/>
    <w:rsid w:val="00AD0898"/>
    <w:rsid w:val="00AD19DE"/>
    <w:rsid w:val="00AD1FE5"/>
    <w:rsid w:val="00AD2492"/>
    <w:rsid w:val="00AD2835"/>
    <w:rsid w:val="00AD2B03"/>
    <w:rsid w:val="00AD2E1B"/>
    <w:rsid w:val="00AD41B9"/>
    <w:rsid w:val="00AD44D3"/>
    <w:rsid w:val="00AD4E30"/>
    <w:rsid w:val="00AD61A8"/>
    <w:rsid w:val="00AD6452"/>
    <w:rsid w:val="00AD652A"/>
    <w:rsid w:val="00AD6E33"/>
    <w:rsid w:val="00AE0377"/>
    <w:rsid w:val="00AE043B"/>
    <w:rsid w:val="00AE0616"/>
    <w:rsid w:val="00AE1083"/>
    <w:rsid w:val="00AE1227"/>
    <w:rsid w:val="00AE1229"/>
    <w:rsid w:val="00AE20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745"/>
    <w:rsid w:val="00B00884"/>
    <w:rsid w:val="00B02280"/>
    <w:rsid w:val="00B0307A"/>
    <w:rsid w:val="00B068F8"/>
    <w:rsid w:val="00B06DCC"/>
    <w:rsid w:val="00B073CB"/>
    <w:rsid w:val="00B0774E"/>
    <w:rsid w:val="00B07F1E"/>
    <w:rsid w:val="00B10618"/>
    <w:rsid w:val="00B106AA"/>
    <w:rsid w:val="00B10FCB"/>
    <w:rsid w:val="00B12A56"/>
    <w:rsid w:val="00B131B8"/>
    <w:rsid w:val="00B132E1"/>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4E5"/>
    <w:rsid w:val="00B2556B"/>
    <w:rsid w:val="00B25DA4"/>
    <w:rsid w:val="00B26D04"/>
    <w:rsid w:val="00B30C0B"/>
    <w:rsid w:val="00B32116"/>
    <w:rsid w:val="00B324AA"/>
    <w:rsid w:val="00B3277E"/>
    <w:rsid w:val="00B32AB9"/>
    <w:rsid w:val="00B3311C"/>
    <w:rsid w:val="00B33AA4"/>
    <w:rsid w:val="00B33C27"/>
    <w:rsid w:val="00B33CF9"/>
    <w:rsid w:val="00B33D24"/>
    <w:rsid w:val="00B33DD1"/>
    <w:rsid w:val="00B33E26"/>
    <w:rsid w:val="00B3459F"/>
    <w:rsid w:val="00B347CF"/>
    <w:rsid w:val="00B35AC3"/>
    <w:rsid w:val="00B35D04"/>
    <w:rsid w:val="00B36598"/>
    <w:rsid w:val="00B406C0"/>
    <w:rsid w:val="00B4094C"/>
    <w:rsid w:val="00B40F4A"/>
    <w:rsid w:val="00B4168E"/>
    <w:rsid w:val="00B42721"/>
    <w:rsid w:val="00B42DD2"/>
    <w:rsid w:val="00B42FE9"/>
    <w:rsid w:val="00B43911"/>
    <w:rsid w:val="00B43B08"/>
    <w:rsid w:val="00B45243"/>
    <w:rsid w:val="00B4739F"/>
    <w:rsid w:val="00B47797"/>
    <w:rsid w:val="00B47819"/>
    <w:rsid w:val="00B507A1"/>
    <w:rsid w:val="00B507C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747C"/>
    <w:rsid w:val="00B7074B"/>
    <w:rsid w:val="00B70AD8"/>
    <w:rsid w:val="00B7162C"/>
    <w:rsid w:val="00B71AFF"/>
    <w:rsid w:val="00B71E86"/>
    <w:rsid w:val="00B724AF"/>
    <w:rsid w:val="00B7298C"/>
    <w:rsid w:val="00B72D64"/>
    <w:rsid w:val="00B731C9"/>
    <w:rsid w:val="00B7371C"/>
    <w:rsid w:val="00B73AB5"/>
    <w:rsid w:val="00B7438C"/>
    <w:rsid w:val="00B74AAA"/>
    <w:rsid w:val="00B74FC7"/>
    <w:rsid w:val="00B75B41"/>
    <w:rsid w:val="00B763F6"/>
    <w:rsid w:val="00B76D98"/>
    <w:rsid w:val="00B777FE"/>
    <w:rsid w:val="00B80F98"/>
    <w:rsid w:val="00B81AB9"/>
    <w:rsid w:val="00B82BA7"/>
    <w:rsid w:val="00B82D83"/>
    <w:rsid w:val="00B83154"/>
    <w:rsid w:val="00B832A4"/>
    <w:rsid w:val="00B83429"/>
    <w:rsid w:val="00B83769"/>
    <w:rsid w:val="00B83C3E"/>
    <w:rsid w:val="00B83C5D"/>
    <w:rsid w:val="00B83DF3"/>
    <w:rsid w:val="00B83FCB"/>
    <w:rsid w:val="00B84BDD"/>
    <w:rsid w:val="00B8575E"/>
    <w:rsid w:val="00B865E8"/>
    <w:rsid w:val="00B86BA3"/>
    <w:rsid w:val="00B874B7"/>
    <w:rsid w:val="00B8792A"/>
    <w:rsid w:val="00B901B1"/>
    <w:rsid w:val="00B90483"/>
    <w:rsid w:val="00B9070D"/>
    <w:rsid w:val="00B91E94"/>
    <w:rsid w:val="00B91EB7"/>
    <w:rsid w:val="00B92059"/>
    <w:rsid w:val="00B92154"/>
    <w:rsid w:val="00B92331"/>
    <w:rsid w:val="00B9277A"/>
    <w:rsid w:val="00B92BAC"/>
    <w:rsid w:val="00B951DD"/>
    <w:rsid w:val="00B95988"/>
    <w:rsid w:val="00B95B3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2AC"/>
    <w:rsid w:val="00BA5438"/>
    <w:rsid w:val="00BA5C54"/>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8A"/>
    <w:rsid w:val="00BB7BDE"/>
    <w:rsid w:val="00BB7F02"/>
    <w:rsid w:val="00BC00F9"/>
    <w:rsid w:val="00BC03B9"/>
    <w:rsid w:val="00BC091F"/>
    <w:rsid w:val="00BC097A"/>
    <w:rsid w:val="00BC0C4E"/>
    <w:rsid w:val="00BC159D"/>
    <w:rsid w:val="00BC2429"/>
    <w:rsid w:val="00BC33DB"/>
    <w:rsid w:val="00BC393C"/>
    <w:rsid w:val="00BC3AEF"/>
    <w:rsid w:val="00BC4566"/>
    <w:rsid w:val="00BC6948"/>
    <w:rsid w:val="00BC6EFB"/>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37E"/>
    <w:rsid w:val="00BE5C1E"/>
    <w:rsid w:val="00BE64A0"/>
    <w:rsid w:val="00BE6DE9"/>
    <w:rsid w:val="00BE703B"/>
    <w:rsid w:val="00BF1E3E"/>
    <w:rsid w:val="00BF2130"/>
    <w:rsid w:val="00BF26A7"/>
    <w:rsid w:val="00BF509F"/>
    <w:rsid w:val="00BF556F"/>
    <w:rsid w:val="00BF5CBD"/>
    <w:rsid w:val="00BF648F"/>
    <w:rsid w:val="00BF6968"/>
    <w:rsid w:val="00BF7956"/>
    <w:rsid w:val="00C0041C"/>
    <w:rsid w:val="00C0056C"/>
    <w:rsid w:val="00C01802"/>
    <w:rsid w:val="00C030D9"/>
    <w:rsid w:val="00C031BC"/>
    <w:rsid w:val="00C03518"/>
    <w:rsid w:val="00C03B82"/>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0DAF"/>
    <w:rsid w:val="00C33AAC"/>
    <w:rsid w:val="00C33CB5"/>
    <w:rsid w:val="00C33FBB"/>
    <w:rsid w:val="00C34106"/>
    <w:rsid w:val="00C34E41"/>
    <w:rsid w:val="00C3546E"/>
    <w:rsid w:val="00C35CFA"/>
    <w:rsid w:val="00C35E15"/>
    <w:rsid w:val="00C369F7"/>
    <w:rsid w:val="00C37113"/>
    <w:rsid w:val="00C40A22"/>
    <w:rsid w:val="00C4156D"/>
    <w:rsid w:val="00C41ADF"/>
    <w:rsid w:val="00C42516"/>
    <w:rsid w:val="00C42523"/>
    <w:rsid w:val="00C42638"/>
    <w:rsid w:val="00C4288D"/>
    <w:rsid w:val="00C435E9"/>
    <w:rsid w:val="00C43835"/>
    <w:rsid w:val="00C44556"/>
    <w:rsid w:val="00C452B6"/>
    <w:rsid w:val="00C4577C"/>
    <w:rsid w:val="00C4579E"/>
    <w:rsid w:val="00C45A05"/>
    <w:rsid w:val="00C4623A"/>
    <w:rsid w:val="00C46F64"/>
    <w:rsid w:val="00C471E3"/>
    <w:rsid w:val="00C475DC"/>
    <w:rsid w:val="00C47F72"/>
    <w:rsid w:val="00C51C62"/>
    <w:rsid w:val="00C52064"/>
    <w:rsid w:val="00C525AA"/>
    <w:rsid w:val="00C52DC4"/>
    <w:rsid w:val="00C540FE"/>
    <w:rsid w:val="00C541DC"/>
    <w:rsid w:val="00C54AAD"/>
    <w:rsid w:val="00C553B1"/>
    <w:rsid w:val="00C555D3"/>
    <w:rsid w:val="00C5567B"/>
    <w:rsid w:val="00C55CCF"/>
    <w:rsid w:val="00C5755B"/>
    <w:rsid w:val="00C57A07"/>
    <w:rsid w:val="00C6064D"/>
    <w:rsid w:val="00C6098C"/>
    <w:rsid w:val="00C61408"/>
    <w:rsid w:val="00C61659"/>
    <w:rsid w:val="00C6254B"/>
    <w:rsid w:val="00C6256B"/>
    <w:rsid w:val="00C62D3F"/>
    <w:rsid w:val="00C631F0"/>
    <w:rsid w:val="00C638F0"/>
    <w:rsid w:val="00C652B8"/>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571A"/>
    <w:rsid w:val="00C96036"/>
    <w:rsid w:val="00C97473"/>
    <w:rsid w:val="00CA003A"/>
    <w:rsid w:val="00CA09C0"/>
    <w:rsid w:val="00CA1A9B"/>
    <w:rsid w:val="00CA2170"/>
    <w:rsid w:val="00CA2C52"/>
    <w:rsid w:val="00CA4855"/>
    <w:rsid w:val="00CA526D"/>
    <w:rsid w:val="00CA5914"/>
    <w:rsid w:val="00CA5D8F"/>
    <w:rsid w:val="00CA648E"/>
    <w:rsid w:val="00CA70BC"/>
    <w:rsid w:val="00CA713F"/>
    <w:rsid w:val="00CA728E"/>
    <w:rsid w:val="00CA748C"/>
    <w:rsid w:val="00CA7B55"/>
    <w:rsid w:val="00CB0C4A"/>
    <w:rsid w:val="00CB16CC"/>
    <w:rsid w:val="00CB199B"/>
    <w:rsid w:val="00CB22AB"/>
    <w:rsid w:val="00CB2C78"/>
    <w:rsid w:val="00CB3989"/>
    <w:rsid w:val="00CB486B"/>
    <w:rsid w:val="00CB4DF7"/>
    <w:rsid w:val="00CB5883"/>
    <w:rsid w:val="00CB59B6"/>
    <w:rsid w:val="00CB59D8"/>
    <w:rsid w:val="00CB5D4C"/>
    <w:rsid w:val="00CB6544"/>
    <w:rsid w:val="00CB7367"/>
    <w:rsid w:val="00CB7906"/>
    <w:rsid w:val="00CC0A82"/>
    <w:rsid w:val="00CC1194"/>
    <w:rsid w:val="00CC15C6"/>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F69"/>
    <w:rsid w:val="00CE407B"/>
    <w:rsid w:val="00CE4163"/>
    <w:rsid w:val="00CE41EE"/>
    <w:rsid w:val="00CE4282"/>
    <w:rsid w:val="00CE5ADC"/>
    <w:rsid w:val="00CE5CF6"/>
    <w:rsid w:val="00CE65FA"/>
    <w:rsid w:val="00CE672E"/>
    <w:rsid w:val="00CE701F"/>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26DD"/>
    <w:rsid w:val="00D031E1"/>
    <w:rsid w:val="00D0450F"/>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6C3"/>
    <w:rsid w:val="00D27D23"/>
    <w:rsid w:val="00D27E21"/>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4A"/>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E55"/>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1FC4"/>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093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B7E20"/>
    <w:rsid w:val="00DC0AE6"/>
    <w:rsid w:val="00DC0F3F"/>
    <w:rsid w:val="00DC13E9"/>
    <w:rsid w:val="00DC152D"/>
    <w:rsid w:val="00DC1B93"/>
    <w:rsid w:val="00DC265A"/>
    <w:rsid w:val="00DC326D"/>
    <w:rsid w:val="00DC3325"/>
    <w:rsid w:val="00DC35A2"/>
    <w:rsid w:val="00DC370C"/>
    <w:rsid w:val="00DC3EAC"/>
    <w:rsid w:val="00DC42F9"/>
    <w:rsid w:val="00DC4F45"/>
    <w:rsid w:val="00DC5148"/>
    <w:rsid w:val="00DC52ED"/>
    <w:rsid w:val="00DC651E"/>
    <w:rsid w:val="00DC6855"/>
    <w:rsid w:val="00DC6E29"/>
    <w:rsid w:val="00DC716E"/>
    <w:rsid w:val="00DC75E6"/>
    <w:rsid w:val="00DD180E"/>
    <w:rsid w:val="00DD1B10"/>
    <w:rsid w:val="00DD1ED7"/>
    <w:rsid w:val="00DD33F7"/>
    <w:rsid w:val="00DD3DF9"/>
    <w:rsid w:val="00DD4105"/>
    <w:rsid w:val="00DD44AA"/>
    <w:rsid w:val="00DD4798"/>
    <w:rsid w:val="00DD502C"/>
    <w:rsid w:val="00DD58FE"/>
    <w:rsid w:val="00DD5D3B"/>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02"/>
    <w:rsid w:val="00E02F7C"/>
    <w:rsid w:val="00E03146"/>
    <w:rsid w:val="00E03285"/>
    <w:rsid w:val="00E0370A"/>
    <w:rsid w:val="00E05055"/>
    <w:rsid w:val="00E05A88"/>
    <w:rsid w:val="00E0620D"/>
    <w:rsid w:val="00E06408"/>
    <w:rsid w:val="00E069B3"/>
    <w:rsid w:val="00E06AED"/>
    <w:rsid w:val="00E06BC5"/>
    <w:rsid w:val="00E06DD6"/>
    <w:rsid w:val="00E076E5"/>
    <w:rsid w:val="00E07CD5"/>
    <w:rsid w:val="00E106A8"/>
    <w:rsid w:val="00E113F6"/>
    <w:rsid w:val="00E12987"/>
    <w:rsid w:val="00E13195"/>
    <w:rsid w:val="00E14449"/>
    <w:rsid w:val="00E14FAC"/>
    <w:rsid w:val="00E15407"/>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8D"/>
    <w:rsid w:val="00E302B0"/>
    <w:rsid w:val="00E3099D"/>
    <w:rsid w:val="00E3134C"/>
    <w:rsid w:val="00E3273E"/>
    <w:rsid w:val="00E32921"/>
    <w:rsid w:val="00E32B41"/>
    <w:rsid w:val="00E33020"/>
    <w:rsid w:val="00E33F90"/>
    <w:rsid w:val="00E3464C"/>
    <w:rsid w:val="00E35462"/>
    <w:rsid w:val="00E356F0"/>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9A3"/>
    <w:rsid w:val="00E64DAD"/>
    <w:rsid w:val="00E6610F"/>
    <w:rsid w:val="00E66266"/>
    <w:rsid w:val="00E662D6"/>
    <w:rsid w:val="00E66397"/>
    <w:rsid w:val="00E6642C"/>
    <w:rsid w:val="00E67FB9"/>
    <w:rsid w:val="00E70120"/>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A77"/>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1E"/>
    <w:rsid w:val="00E93CF8"/>
    <w:rsid w:val="00E93D52"/>
    <w:rsid w:val="00E9436D"/>
    <w:rsid w:val="00E94851"/>
    <w:rsid w:val="00E94A62"/>
    <w:rsid w:val="00E9527A"/>
    <w:rsid w:val="00E95933"/>
    <w:rsid w:val="00E96978"/>
    <w:rsid w:val="00E96AEE"/>
    <w:rsid w:val="00E9714D"/>
    <w:rsid w:val="00E9777C"/>
    <w:rsid w:val="00E97ADE"/>
    <w:rsid w:val="00EA0DC8"/>
    <w:rsid w:val="00EA103A"/>
    <w:rsid w:val="00EA1903"/>
    <w:rsid w:val="00EA28F3"/>
    <w:rsid w:val="00EA2B7F"/>
    <w:rsid w:val="00EA3341"/>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7BC"/>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35F"/>
    <w:rsid w:val="00EC44D5"/>
    <w:rsid w:val="00EC4998"/>
    <w:rsid w:val="00EC4DD5"/>
    <w:rsid w:val="00EC5BD1"/>
    <w:rsid w:val="00EC6148"/>
    <w:rsid w:val="00ED08A7"/>
    <w:rsid w:val="00ED0A84"/>
    <w:rsid w:val="00ED0F49"/>
    <w:rsid w:val="00ED0FAC"/>
    <w:rsid w:val="00ED1A31"/>
    <w:rsid w:val="00ED4BDF"/>
    <w:rsid w:val="00ED4F4A"/>
    <w:rsid w:val="00ED516E"/>
    <w:rsid w:val="00ED7B39"/>
    <w:rsid w:val="00ED7C3F"/>
    <w:rsid w:val="00EE14B6"/>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66F0"/>
    <w:rsid w:val="00EF7553"/>
    <w:rsid w:val="00EF77AD"/>
    <w:rsid w:val="00EF7D8B"/>
    <w:rsid w:val="00F00240"/>
    <w:rsid w:val="00F0140E"/>
    <w:rsid w:val="00F01817"/>
    <w:rsid w:val="00F02FC3"/>
    <w:rsid w:val="00F031D3"/>
    <w:rsid w:val="00F03224"/>
    <w:rsid w:val="00F03C12"/>
    <w:rsid w:val="00F04B73"/>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4AFD"/>
    <w:rsid w:val="00F154C2"/>
    <w:rsid w:val="00F15962"/>
    <w:rsid w:val="00F1596E"/>
    <w:rsid w:val="00F161F8"/>
    <w:rsid w:val="00F164FB"/>
    <w:rsid w:val="00F1681C"/>
    <w:rsid w:val="00F16F02"/>
    <w:rsid w:val="00F174FA"/>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9DA"/>
    <w:rsid w:val="00F32D26"/>
    <w:rsid w:val="00F32D9A"/>
    <w:rsid w:val="00F33233"/>
    <w:rsid w:val="00F337EF"/>
    <w:rsid w:val="00F33C5A"/>
    <w:rsid w:val="00F33E97"/>
    <w:rsid w:val="00F33F1D"/>
    <w:rsid w:val="00F35210"/>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BF2"/>
    <w:rsid w:val="00F51F06"/>
    <w:rsid w:val="00F52FCD"/>
    <w:rsid w:val="00F53603"/>
    <w:rsid w:val="00F5368D"/>
    <w:rsid w:val="00F53866"/>
    <w:rsid w:val="00F53A75"/>
    <w:rsid w:val="00F53B9F"/>
    <w:rsid w:val="00F53D99"/>
    <w:rsid w:val="00F53ED2"/>
    <w:rsid w:val="00F53FEA"/>
    <w:rsid w:val="00F5521F"/>
    <w:rsid w:val="00F56FB2"/>
    <w:rsid w:val="00F60460"/>
    <w:rsid w:val="00F608B1"/>
    <w:rsid w:val="00F60DD9"/>
    <w:rsid w:val="00F615D0"/>
    <w:rsid w:val="00F62084"/>
    <w:rsid w:val="00F622DB"/>
    <w:rsid w:val="00F62598"/>
    <w:rsid w:val="00F628A2"/>
    <w:rsid w:val="00F62C6B"/>
    <w:rsid w:val="00F62DC6"/>
    <w:rsid w:val="00F636A0"/>
    <w:rsid w:val="00F63A1B"/>
    <w:rsid w:val="00F64A78"/>
    <w:rsid w:val="00F663DF"/>
    <w:rsid w:val="00F667EB"/>
    <w:rsid w:val="00F702AD"/>
    <w:rsid w:val="00F7051A"/>
    <w:rsid w:val="00F7132D"/>
    <w:rsid w:val="00F71A92"/>
    <w:rsid w:val="00F71E8C"/>
    <w:rsid w:val="00F7264F"/>
    <w:rsid w:val="00F7344C"/>
    <w:rsid w:val="00F7390F"/>
    <w:rsid w:val="00F7406D"/>
    <w:rsid w:val="00F741F9"/>
    <w:rsid w:val="00F74BD3"/>
    <w:rsid w:val="00F75B1A"/>
    <w:rsid w:val="00F7676A"/>
    <w:rsid w:val="00F76B82"/>
    <w:rsid w:val="00F803F5"/>
    <w:rsid w:val="00F80686"/>
    <w:rsid w:val="00F80712"/>
    <w:rsid w:val="00F8114D"/>
    <w:rsid w:val="00F83748"/>
    <w:rsid w:val="00F842F8"/>
    <w:rsid w:val="00F8461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550"/>
    <w:rsid w:val="00FA7DC4"/>
    <w:rsid w:val="00FA7F41"/>
    <w:rsid w:val="00FB08E7"/>
    <w:rsid w:val="00FB1401"/>
    <w:rsid w:val="00FB1598"/>
    <w:rsid w:val="00FB1B6D"/>
    <w:rsid w:val="00FB1F93"/>
    <w:rsid w:val="00FB24F4"/>
    <w:rsid w:val="00FB26E7"/>
    <w:rsid w:val="00FB48C7"/>
    <w:rsid w:val="00FB4E94"/>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5DC3"/>
    <w:rsid w:val="00FC61B8"/>
    <w:rsid w:val="00FC6D49"/>
    <w:rsid w:val="00FC6D5F"/>
    <w:rsid w:val="00FC6F12"/>
    <w:rsid w:val="00FC755B"/>
    <w:rsid w:val="00FC7612"/>
    <w:rsid w:val="00FC7E97"/>
    <w:rsid w:val="00FC7F44"/>
    <w:rsid w:val="00FD293F"/>
    <w:rsid w:val="00FD2C4F"/>
    <w:rsid w:val="00FD5169"/>
    <w:rsid w:val="00FD7941"/>
    <w:rsid w:val="00FD7948"/>
    <w:rsid w:val="00FE00B1"/>
    <w:rsid w:val="00FE02C6"/>
    <w:rsid w:val="00FE089D"/>
    <w:rsid w:val="00FE1721"/>
    <w:rsid w:val="00FE18D0"/>
    <w:rsid w:val="00FE1A14"/>
    <w:rsid w:val="00FE1F4E"/>
    <w:rsid w:val="00FE2404"/>
    <w:rsid w:val="00FE257E"/>
    <w:rsid w:val="00FE283F"/>
    <w:rsid w:val="00FE2C51"/>
    <w:rsid w:val="00FE315D"/>
    <w:rsid w:val="00FE3636"/>
    <w:rsid w:val="00FE3ABC"/>
    <w:rsid w:val="00FE4DFB"/>
    <w:rsid w:val="00FE4F53"/>
    <w:rsid w:val="00FE532E"/>
    <w:rsid w:val="00FE54B9"/>
    <w:rsid w:val="00FE5CB5"/>
    <w:rsid w:val="00FE7140"/>
    <w:rsid w:val="00FF0DB9"/>
    <w:rsid w:val="00FF104C"/>
    <w:rsid w:val="00FF10EC"/>
    <w:rsid w:val="00FF1AAC"/>
    <w:rsid w:val="00FF1B32"/>
    <w:rsid w:val="00FF25A1"/>
    <w:rsid w:val="00FF29D9"/>
    <w:rsid w:val="00FF2AB0"/>
    <w:rsid w:val="00FF6C15"/>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298"/>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rPr>
      <w:rFonts w:eastAsia="SimSun"/>
    </w:r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rFonts w:eastAsia="SimSun"/>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rFonts w:eastAsia="SimSun"/>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rFonts w:eastAsia="SimSun"/>
      <w:lang w:eastAsia="x-none"/>
    </w:rPr>
  </w:style>
  <w:style w:type="paragraph" w:customStyle="1" w:styleId="FP">
    <w:name w:val="FP"/>
    <w:basedOn w:val="Normal"/>
    <w:rsid w:val="00995174"/>
    <w:rPr>
      <w:rFonts w:eastAsia="SimSun"/>
    </w:r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rFonts w:eastAsia="SimSun"/>
      <w:noProof/>
    </w:rPr>
  </w:style>
  <w:style w:type="paragraph" w:customStyle="1" w:styleId="TH">
    <w:name w:val="TH"/>
    <w:basedOn w:val="Normal"/>
    <w:link w:val="THChar"/>
    <w:qFormat/>
    <w:rsid w:val="00995174"/>
    <w:pPr>
      <w:keepNext/>
      <w:keepLines/>
      <w:spacing w:before="60"/>
      <w:jc w:val="center"/>
    </w:pPr>
    <w:rPr>
      <w:rFonts w:ascii="Arial" w:eastAsia="SimSun"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eastAsia="SimSun"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rPr>
      <w:rFonts w:eastAsia="SimSun"/>
    </w:r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0">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rFonts w:eastAsia="SimSun"/>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rFonts w:eastAsia="SimSun"/>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spacing w:after="100" w:afterAutospacing="1"/>
    </w:pPr>
    <w:rPr>
      <w:rFonts w:eastAsia="SimSu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eastAsia="SimSun"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rFonts w:eastAsia="SimSun"/>
      <w:b/>
      <w:i/>
      <w:sz w:val="26"/>
    </w:rPr>
  </w:style>
  <w:style w:type="paragraph" w:customStyle="1" w:styleId="INDENT1">
    <w:name w:val="INDENT1"/>
    <w:basedOn w:val="Normal"/>
    <w:rsid w:val="00F03224"/>
    <w:pPr>
      <w:ind w:left="851"/>
    </w:pPr>
    <w:rPr>
      <w:rFonts w:eastAsia="SimSun"/>
    </w:rPr>
  </w:style>
  <w:style w:type="paragraph" w:customStyle="1" w:styleId="INDENT2">
    <w:name w:val="INDENT2"/>
    <w:basedOn w:val="Normal"/>
    <w:rsid w:val="00F03224"/>
    <w:pPr>
      <w:ind w:left="1135" w:hanging="284"/>
    </w:pPr>
    <w:rPr>
      <w:rFonts w:eastAsia="SimSun"/>
    </w:rPr>
  </w:style>
  <w:style w:type="paragraph" w:customStyle="1" w:styleId="INDENT3">
    <w:name w:val="INDENT3"/>
    <w:basedOn w:val="Normal"/>
    <w:rsid w:val="00F03224"/>
    <w:pPr>
      <w:ind w:left="1701" w:hanging="567"/>
    </w:pPr>
    <w:rPr>
      <w:rFonts w:eastAsia="SimSun"/>
    </w:r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rFonts w:eastAsia="SimSun"/>
      <w:b/>
    </w:rPr>
  </w:style>
  <w:style w:type="paragraph" w:customStyle="1" w:styleId="RecCCITT">
    <w:name w:val="Rec_CCITT_#"/>
    <w:basedOn w:val="Normal"/>
    <w:rsid w:val="00F03224"/>
    <w:pPr>
      <w:keepNext/>
      <w:keepLines/>
    </w:pPr>
    <w:rPr>
      <w:rFonts w:eastAsia="SimSun"/>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03224"/>
    <w:pPr>
      <w:keepNext/>
      <w:keepLines/>
      <w:spacing w:before="240"/>
      <w:ind w:left="1418"/>
    </w:pPr>
    <w:rPr>
      <w:rFonts w:ascii="Arial" w:eastAsia="SimSun"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eastAsia="SimSun"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eastAsia="SimSun"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rFonts w:eastAsia="SimSun"/>
      <w:i/>
      <w:color w:val="0000FF"/>
    </w:rPr>
  </w:style>
  <w:style w:type="paragraph" w:styleId="CommentText">
    <w:name w:val="annotation text"/>
    <w:basedOn w:val="Normal"/>
    <w:link w:val="CommentTextChar"/>
    <w:semiHidden/>
    <w:rsid w:val="00F03224"/>
    <w:rPr>
      <w:rFonts w:eastAsia="SimSun"/>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rFonts w:eastAsia="SimSun"/>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rFonts w:eastAsia="SimSun"/>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rFonts w:eastAsia="SimSun"/>
      <w:lang w:eastAsia="en-GB"/>
    </w:rPr>
  </w:style>
  <w:style w:type="paragraph" w:styleId="ListNumber4">
    <w:name w:val="List Number 4"/>
    <w:basedOn w:val="Normal"/>
    <w:unhideWhenUsed/>
    <w:rsid w:val="00F03224"/>
    <w:pPr>
      <w:numPr>
        <w:numId w:val="2"/>
      </w:numPr>
      <w:tabs>
        <w:tab w:val="num" w:pos="1209"/>
      </w:tabs>
      <w:ind w:left="1209"/>
    </w:pPr>
    <w:rPr>
      <w:rFonts w:eastAsia="SimSun"/>
      <w:lang w:eastAsia="en-GB"/>
    </w:rPr>
  </w:style>
  <w:style w:type="paragraph" w:styleId="ListNumber5">
    <w:name w:val="List Number 5"/>
    <w:basedOn w:val="Normal"/>
    <w:unhideWhenUsed/>
    <w:rsid w:val="00F03224"/>
    <w:pPr>
      <w:tabs>
        <w:tab w:val="num" w:pos="851"/>
        <w:tab w:val="num" w:pos="1800"/>
      </w:tabs>
      <w:ind w:left="1800" w:hanging="851"/>
    </w:pPr>
    <w:rPr>
      <w:rFonts w:eastAsia="SimSun"/>
      <w:lang w:eastAsia="en-GB"/>
    </w:rPr>
  </w:style>
  <w:style w:type="paragraph" w:styleId="Title">
    <w:name w:val="Title"/>
    <w:basedOn w:val="Normal"/>
    <w:next w:val="Normal"/>
    <w:link w:val="TitleChar"/>
    <w:qFormat/>
    <w:rsid w:val="00F03224"/>
    <w:pPr>
      <w:spacing w:before="240" w:after="60"/>
      <w:outlineLvl w:val="0"/>
    </w:pPr>
    <w:rPr>
      <w:rFonts w:ascii="Courier New" w:eastAsia="SimSun"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rFonts w:eastAsia="SimSun"/>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rFonts w:eastAsia="SimSun"/>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rFonts w:eastAsia="SimSun"/>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0"/>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eastAsia="SimSun"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rFonts w:eastAsia="SimSun"/>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eastAsia="SimSun"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rFonts w:eastAsia="SimSun"/>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eastAsia="SimSun"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hAnsi="Arial" w:cs="Arial"/>
    </w:rPr>
  </w:style>
  <w:style w:type="paragraph" w:customStyle="1" w:styleId="b11">
    <w:name w:val="b1"/>
    <w:basedOn w:val="Normal"/>
    <w:rsid w:val="00F03224"/>
    <w:pPr>
      <w:spacing w:after="100" w:afterAutospacing="1"/>
    </w:pPr>
    <w:rPr>
      <w:rFonts w:eastAsia="SimSun"/>
    </w:rPr>
  </w:style>
  <w:style w:type="paragraph" w:customStyle="1" w:styleId="10">
    <w:name w:val="吹き出し1"/>
    <w:basedOn w:val="Normal"/>
    <w:semiHidden/>
    <w:rsid w:val="00F03224"/>
    <w:rPr>
      <w:rFonts w:ascii="Tahoma" w:eastAsia="SimSun"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eastAsia="SimSun" w:hAnsi="Tahoma" w:cs="Tahoma"/>
      <w:sz w:val="16"/>
      <w:szCs w:val="16"/>
    </w:rPr>
  </w:style>
  <w:style w:type="paragraph" w:customStyle="1" w:styleId="Note">
    <w:name w:val="Note"/>
    <w:basedOn w:val="B10"/>
    <w:rsid w:val="00F03224"/>
    <w:rPr>
      <w:rFonts w:ascii="CG Times (WN)" w:hAnsi="CG Times (WN)"/>
      <w:lang w:eastAsia="en-GB"/>
    </w:rPr>
  </w:style>
  <w:style w:type="paragraph" w:customStyle="1" w:styleId="tabletext0">
    <w:name w:val="table text"/>
    <w:basedOn w:val="Normal"/>
    <w:next w:val="Normal"/>
    <w:rsid w:val="00F03224"/>
    <w:rPr>
      <w:rFonts w:eastAsia="SimSun"/>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rFonts w:eastAsia="SimSun"/>
      <w:b/>
      <w:lang w:eastAsia="en-GB"/>
    </w:rPr>
  </w:style>
  <w:style w:type="paragraph" w:customStyle="1" w:styleId="HE">
    <w:name w:val="HE"/>
    <w:basedOn w:val="Normal"/>
    <w:rsid w:val="00F03224"/>
    <w:rPr>
      <w:rFonts w:eastAsia="SimSun"/>
      <w:b/>
      <w:lang w:eastAsia="en-GB"/>
    </w:rPr>
  </w:style>
  <w:style w:type="paragraph" w:customStyle="1" w:styleId="HO">
    <w:name w:val="HO"/>
    <w:basedOn w:val="Normal"/>
    <w:rsid w:val="00F03224"/>
    <w:pPr>
      <w:jc w:val="right"/>
    </w:pPr>
    <w:rPr>
      <w:rFonts w:eastAsia="SimSun"/>
      <w:b/>
      <w:lang w:eastAsia="en-GB"/>
    </w:rPr>
  </w:style>
  <w:style w:type="paragraph" w:customStyle="1" w:styleId="WP">
    <w:name w:val="WP"/>
    <w:basedOn w:val="Normal"/>
    <w:rsid w:val="00F03224"/>
    <w:pPr>
      <w:jc w:val="both"/>
    </w:pPr>
    <w:rPr>
      <w:rFonts w:eastAsia="SimSun"/>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rFonts w:eastAsia="SimSun"/>
      <w:lang w:eastAsia="en-GB"/>
    </w:rPr>
  </w:style>
  <w:style w:type="paragraph" w:customStyle="1" w:styleId="Para1">
    <w:name w:val="Para1"/>
    <w:basedOn w:val="Normal"/>
    <w:rsid w:val="00F03224"/>
    <w:pPr>
      <w:spacing w:before="120" w:after="120"/>
    </w:pPr>
    <w:rPr>
      <w:rFonts w:eastAsia="SimSun"/>
      <w:lang w:eastAsia="en-GB"/>
    </w:rPr>
  </w:style>
  <w:style w:type="paragraph" w:customStyle="1" w:styleId="Teststep">
    <w:name w:val="Test step"/>
    <w:basedOn w:val="Normal"/>
    <w:rsid w:val="00F03224"/>
    <w:pPr>
      <w:tabs>
        <w:tab w:val="left" w:pos="720"/>
      </w:tabs>
      <w:ind w:left="720" w:hanging="720"/>
    </w:pPr>
    <w:rPr>
      <w:rFonts w:eastAsia="SimSun"/>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rFonts w:eastAsia="SimSun"/>
      <w:b/>
      <w:lang w:eastAsia="en-GB"/>
    </w:rPr>
  </w:style>
  <w:style w:type="paragraph" w:customStyle="1" w:styleId="table">
    <w:name w:val="table"/>
    <w:basedOn w:val="Normal"/>
    <w:next w:val="Normal"/>
    <w:rsid w:val="00F03224"/>
    <w:pPr>
      <w:jc w:val="center"/>
    </w:pPr>
    <w:rPr>
      <w:rFonts w:eastAsia="SimSun"/>
      <w:lang w:eastAsia="en-GB"/>
    </w:rPr>
  </w:style>
  <w:style w:type="paragraph" w:customStyle="1" w:styleId="t2">
    <w:name w:val="t2"/>
    <w:basedOn w:val="Normal"/>
    <w:rsid w:val="00F03224"/>
    <w:rPr>
      <w:rFonts w:eastAsia="SimSun"/>
      <w:lang w:eastAsia="en-GB"/>
    </w:rPr>
  </w:style>
  <w:style w:type="paragraph" w:customStyle="1" w:styleId="CommentNokia">
    <w:name w:val="Comment Nokia"/>
    <w:basedOn w:val="Normal"/>
    <w:rsid w:val="00F03224"/>
    <w:pPr>
      <w:tabs>
        <w:tab w:val="left" w:pos="360"/>
      </w:tabs>
      <w:ind w:left="360" w:hanging="360"/>
    </w:pPr>
    <w:rPr>
      <w:rFonts w:eastAsia="SimSun"/>
      <w:sz w:val="22"/>
      <w:lang w:eastAsia="en-GB"/>
    </w:rPr>
  </w:style>
  <w:style w:type="paragraph" w:customStyle="1" w:styleId="Copyright">
    <w:name w:val="Copyright"/>
    <w:basedOn w:val="Normal"/>
    <w:rsid w:val="00F03224"/>
    <w:pPr>
      <w:jc w:val="center"/>
    </w:pPr>
    <w:rPr>
      <w:rFonts w:ascii="Arial" w:eastAsia="SimSun"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rFonts w:eastAsia="SimSun"/>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rFonts w:eastAsia="SimSun"/>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rPr>
      <w:rFonts w:eastAsia="SimSun"/>
    </w:r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eastAsia="SimSun"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eastAsia="SimSun"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paragraph" w:customStyle="1" w:styleId="B1">
    <w:name w:val="B1+"/>
    <w:basedOn w:val="Normal"/>
    <w:rsid w:val="00351D7D"/>
    <w:pPr>
      <w:numPr>
        <w:numId w:val="54"/>
      </w:numPr>
      <w:spacing w:before="0" w:beforeAutospacing="0"/>
      <w:textAlignment w:val="auto"/>
    </w:pPr>
    <w:rPr>
      <w:rFonts w:eastAsia="SimSun"/>
      <w:lang w:val="en-GB" w:eastAsia="en-US"/>
    </w:rPr>
  </w:style>
  <w:style w:type="character" w:customStyle="1" w:styleId="EQChar">
    <w:name w:val="EQ Char"/>
    <w:link w:val="EQ"/>
    <w:qFormat/>
    <w:locked/>
    <w:rsid w:val="00FC5DC3"/>
    <w:rPr>
      <w:rFonts w:ascii="Times New Roman" w:eastAsia="SimSun" w:hAnsi="Times New Roman"/>
      <w:noProof/>
      <w:sz w:val="24"/>
      <w:szCs w:val="24"/>
    </w:rPr>
  </w:style>
  <w:style w:type="character" w:styleId="UnresolvedMention">
    <w:name w:val="Unresolved Mention"/>
    <w:basedOn w:val="DefaultParagraphFont"/>
    <w:uiPriority w:val="99"/>
    <w:semiHidden/>
    <w:unhideWhenUsed/>
    <w:rsid w:val="00537816"/>
    <w:rPr>
      <w:color w:val="605E5C"/>
      <w:shd w:val="clear" w:color="auto" w:fill="E1DFDD"/>
    </w:rPr>
  </w:style>
  <w:style w:type="character" w:customStyle="1" w:styleId="apple-converted-space">
    <w:name w:val="apple-converted-space"/>
    <w:basedOn w:val="DefaultParagraphFont"/>
    <w:rsid w:val="007B3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1924229">
      <w:bodyDiv w:val="1"/>
      <w:marLeft w:val="0"/>
      <w:marRight w:val="0"/>
      <w:marTop w:val="0"/>
      <w:marBottom w:val="0"/>
      <w:divBdr>
        <w:top w:val="none" w:sz="0" w:space="0" w:color="auto"/>
        <w:left w:val="none" w:sz="0" w:space="0" w:color="auto"/>
        <w:bottom w:val="none" w:sz="0" w:space="0" w:color="auto"/>
        <w:right w:val="none" w:sz="0" w:space="0" w:color="auto"/>
      </w:divBdr>
      <w:divsChild>
        <w:div w:id="665285246">
          <w:marLeft w:val="533"/>
          <w:marRight w:val="0"/>
          <w:marTop w:val="134"/>
          <w:marBottom w:val="0"/>
          <w:divBdr>
            <w:top w:val="none" w:sz="0" w:space="0" w:color="auto"/>
            <w:left w:val="none" w:sz="0" w:space="0" w:color="auto"/>
            <w:bottom w:val="none" w:sz="0" w:space="0" w:color="auto"/>
            <w:right w:val="none" w:sz="0" w:space="0" w:color="auto"/>
          </w:divBdr>
        </w:div>
        <w:div w:id="750781646">
          <w:marLeft w:val="1166"/>
          <w:marRight w:val="0"/>
          <w:marTop w:val="115"/>
          <w:marBottom w:val="0"/>
          <w:divBdr>
            <w:top w:val="none" w:sz="0" w:space="0" w:color="auto"/>
            <w:left w:val="none" w:sz="0" w:space="0" w:color="auto"/>
            <w:bottom w:val="none" w:sz="0" w:space="0" w:color="auto"/>
            <w:right w:val="none" w:sz="0" w:space="0" w:color="auto"/>
          </w:divBdr>
        </w:div>
        <w:div w:id="1025523953">
          <w:marLeft w:val="1166"/>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679710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6815149">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5399032">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8240744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0687518">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3788123">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484859252">
      <w:bodyDiv w:val="1"/>
      <w:marLeft w:val="0"/>
      <w:marRight w:val="0"/>
      <w:marTop w:val="0"/>
      <w:marBottom w:val="0"/>
      <w:divBdr>
        <w:top w:val="none" w:sz="0" w:space="0" w:color="auto"/>
        <w:left w:val="none" w:sz="0" w:space="0" w:color="auto"/>
        <w:bottom w:val="none" w:sz="0" w:space="0" w:color="auto"/>
        <w:right w:val="none" w:sz="0" w:space="0" w:color="auto"/>
      </w:divBdr>
      <w:divsChild>
        <w:div w:id="1724600560">
          <w:marLeft w:val="0"/>
          <w:marRight w:val="0"/>
          <w:marTop w:val="0"/>
          <w:marBottom w:val="0"/>
          <w:divBdr>
            <w:top w:val="none" w:sz="0" w:space="0" w:color="auto"/>
            <w:left w:val="none" w:sz="0" w:space="0" w:color="auto"/>
            <w:bottom w:val="none" w:sz="0" w:space="0" w:color="auto"/>
            <w:right w:val="none" w:sz="0" w:space="0" w:color="auto"/>
          </w:divBdr>
          <w:divsChild>
            <w:div w:id="1949969807">
              <w:marLeft w:val="0"/>
              <w:marRight w:val="0"/>
              <w:marTop w:val="0"/>
              <w:marBottom w:val="0"/>
              <w:divBdr>
                <w:top w:val="none" w:sz="0" w:space="0" w:color="auto"/>
                <w:left w:val="none" w:sz="0" w:space="0" w:color="auto"/>
                <w:bottom w:val="none" w:sz="0" w:space="0" w:color="auto"/>
                <w:right w:val="none" w:sz="0" w:space="0" w:color="auto"/>
              </w:divBdr>
              <w:divsChild>
                <w:div w:id="1688364763">
                  <w:marLeft w:val="0"/>
                  <w:marRight w:val="0"/>
                  <w:marTop w:val="0"/>
                  <w:marBottom w:val="0"/>
                  <w:divBdr>
                    <w:top w:val="none" w:sz="0" w:space="0" w:color="auto"/>
                    <w:left w:val="none" w:sz="0" w:space="0" w:color="auto"/>
                    <w:bottom w:val="none" w:sz="0" w:space="0" w:color="auto"/>
                    <w:right w:val="none" w:sz="0" w:space="0" w:color="auto"/>
                  </w:divBdr>
                  <w:divsChild>
                    <w:div w:id="206066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3150423">
      <w:bodyDiv w:val="1"/>
      <w:marLeft w:val="0"/>
      <w:marRight w:val="0"/>
      <w:marTop w:val="0"/>
      <w:marBottom w:val="0"/>
      <w:divBdr>
        <w:top w:val="none" w:sz="0" w:space="0" w:color="auto"/>
        <w:left w:val="none" w:sz="0" w:space="0" w:color="auto"/>
        <w:bottom w:val="none" w:sz="0" w:space="0" w:color="auto"/>
        <w:right w:val="none" w:sz="0" w:space="0" w:color="auto"/>
      </w:divBdr>
    </w:div>
    <w:div w:id="63413986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2630810">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45734463">
      <w:bodyDiv w:val="1"/>
      <w:marLeft w:val="0"/>
      <w:marRight w:val="0"/>
      <w:marTop w:val="0"/>
      <w:marBottom w:val="0"/>
      <w:divBdr>
        <w:top w:val="none" w:sz="0" w:space="0" w:color="auto"/>
        <w:left w:val="none" w:sz="0" w:space="0" w:color="auto"/>
        <w:bottom w:val="none" w:sz="0" w:space="0" w:color="auto"/>
        <w:right w:val="none" w:sz="0" w:space="0" w:color="auto"/>
      </w:divBdr>
    </w:div>
    <w:div w:id="750859749">
      <w:bodyDiv w:val="1"/>
      <w:marLeft w:val="0"/>
      <w:marRight w:val="0"/>
      <w:marTop w:val="0"/>
      <w:marBottom w:val="0"/>
      <w:divBdr>
        <w:top w:val="none" w:sz="0" w:space="0" w:color="auto"/>
        <w:left w:val="none" w:sz="0" w:space="0" w:color="auto"/>
        <w:bottom w:val="none" w:sz="0" w:space="0" w:color="auto"/>
        <w:right w:val="none" w:sz="0" w:space="0" w:color="auto"/>
      </w:divBdr>
    </w:div>
    <w:div w:id="754863173">
      <w:bodyDiv w:val="1"/>
      <w:marLeft w:val="0"/>
      <w:marRight w:val="0"/>
      <w:marTop w:val="0"/>
      <w:marBottom w:val="0"/>
      <w:divBdr>
        <w:top w:val="none" w:sz="0" w:space="0" w:color="auto"/>
        <w:left w:val="none" w:sz="0" w:space="0" w:color="auto"/>
        <w:bottom w:val="none" w:sz="0" w:space="0" w:color="auto"/>
        <w:right w:val="none" w:sz="0" w:space="0" w:color="auto"/>
      </w:divBdr>
    </w:div>
    <w:div w:id="757597414">
      <w:bodyDiv w:val="1"/>
      <w:marLeft w:val="0"/>
      <w:marRight w:val="0"/>
      <w:marTop w:val="0"/>
      <w:marBottom w:val="0"/>
      <w:divBdr>
        <w:top w:val="none" w:sz="0" w:space="0" w:color="auto"/>
        <w:left w:val="none" w:sz="0" w:space="0" w:color="auto"/>
        <w:bottom w:val="none" w:sz="0" w:space="0" w:color="auto"/>
        <w:right w:val="none" w:sz="0" w:space="0" w:color="auto"/>
      </w:divBdr>
    </w:div>
    <w:div w:id="76639005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1235836">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597367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58326">
      <w:bodyDiv w:val="1"/>
      <w:marLeft w:val="0"/>
      <w:marRight w:val="0"/>
      <w:marTop w:val="0"/>
      <w:marBottom w:val="0"/>
      <w:divBdr>
        <w:top w:val="none" w:sz="0" w:space="0" w:color="auto"/>
        <w:left w:val="none" w:sz="0" w:space="0" w:color="auto"/>
        <w:bottom w:val="none" w:sz="0" w:space="0" w:color="auto"/>
        <w:right w:val="none" w:sz="0" w:space="0" w:color="auto"/>
      </w:divBdr>
    </w:div>
    <w:div w:id="928081236">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7705638">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2923850">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76656020">
      <w:bodyDiv w:val="1"/>
      <w:marLeft w:val="0"/>
      <w:marRight w:val="0"/>
      <w:marTop w:val="0"/>
      <w:marBottom w:val="0"/>
      <w:divBdr>
        <w:top w:val="none" w:sz="0" w:space="0" w:color="auto"/>
        <w:left w:val="none" w:sz="0" w:space="0" w:color="auto"/>
        <w:bottom w:val="none" w:sz="0" w:space="0" w:color="auto"/>
        <w:right w:val="none" w:sz="0" w:space="0" w:color="auto"/>
      </w:divBdr>
    </w:div>
    <w:div w:id="118235825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6249127">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29598784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729192">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2698770">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20778460">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7837577">
      <w:bodyDiv w:val="1"/>
      <w:marLeft w:val="0"/>
      <w:marRight w:val="0"/>
      <w:marTop w:val="0"/>
      <w:marBottom w:val="0"/>
      <w:divBdr>
        <w:top w:val="none" w:sz="0" w:space="0" w:color="auto"/>
        <w:left w:val="none" w:sz="0" w:space="0" w:color="auto"/>
        <w:bottom w:val="none" w:sz="0" w:space="0" w:color="auto"/>
        <w:right w:val="none" w:sz="0" w:space="0" w:color="auto"/>
      </w:divBdr>
      <w:divsChild>
        <w:div w:id="1481993499">
          <w:marLeft w:val="547"/>
          <w:marRight w:val="0"/>
          <w:marTop w:val="134"/>
          <w:marBottom w:val="0"/>
          <w:divBdr>
            <w:top w:val="none" w:sz="0" w:space="0" w:color="auto"/>
            <w:left w:val="none" w:sz="0" w:space="0" w:color="auto"/>
            <w:bottom w:val="none" w:sz="0" w:space="0" w:color="auto"/>
            <w:right w:val="none" w:sz="0" w:space="0" w:color="auto"/>
          </w:divBdr>
        </w:div>
        <w:div w:id="1427262545">
          <w:marLeft w:val="1166"/>
          <w:marRight w:val="0"/>
          <w:marTop w:val="134"/>
          <w:marBottom w:val="0"/>
          <w:divBdr>
            <w:top w:val="none" w:sz="0" w:space="0" w:color="auto"/>
            <w:left w:val="none" w:sz="0" w:space="0" w:color="auto"/>
            <w:bottom w:val="none" w:sz="0" w:space="0" w:color="auto"/>
            <w:right w:val="none" w:sz="0" w:space="0" w:color="auto"/>
          </w:divBdr>
        </w:div>
        <w:div w:id="1777748256">
          <w:marLeft w:val="1800"/>
          <w:marRight w:val="0"/>
          <w:marTop w:val="115"/>
          <w:marBottom w:val="0"/>
          <w:divBdr>
            <w:top w:val="none" w:sz="0" w:space="0" w:color="auto"/>
            <w:left w:val="none" w:sz="0" w:space="0" w:color="auto"/>
            <w:bottom w:val="none" w:sz="0" w:space="0" w:color="auto"/>
            <w:right w:val="none" w:sz="0" w:space="0" w:color="auto"/>
          </w:divBdr>
        </w:div>
      </w:divsChild>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9923122">
      <w:bodyDiv w:val="1"/>
      <w:marLeft w:val="0"/>
      <w:marRight w:val="0"/>
      <w:marTop w:val="0"/>
      <w:marBottom w:val="0"/>
      <w:divBdr>
        <w:top w:val="none" w:sz="0" w:space="0" w:color="auto"/>
        <w:left w:val="none" w:sz="0" w:space="0" w:color="auto"/>
        <w:bottom w:val="none" w:sz="0" w:space="0" w:color="auto"/>
        <w:right w:val="none" w:sz="0" w:space="0" w:color="auto"/>
      </w:divBdr>
    </w:div>
    <w:div w:id="1623339833">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7943740">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242214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8395527">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1912782">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4577047">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53034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28354961">
      <w:bodyDiv w:val="1"/>
      <w:marLeft w:val="0"/>
      <w:marRight w:val="0"/>
      <w:marTop w:val="0"/>
      <w:marBottom w:val="0"/>
      <w:divBdr>
        <w:top w:val="none" w:sz="0" w:space="0" w:color="auto"/>
        <w:left w:val="none" w:sz="0" w:space="0" w:color="auto"/>
        <w:bottom w:val="none" w:sz="0" w:space="0" w:color="auto"/>
        <w:right w:val="none" w:sz="0" w:space="0" w:color="auto"/>
      </w:divBdr>
    </w:div>
    <w:div w:id="213536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32</TotalTime>
  <Pages>4</Pages>
  <Words>911</Words>
  <Characters>5193</Characters>
  <Application>Microsoft Office Word</Application>
  <DocSecurity>0</DocSecurity>
  <Lines>43</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[Apple_RAN4#116]</cp:lastModifiedBy>
  <cp:revision>5</cp:revision>
  <cp:lastPrinted>2016-08-05T18:54:00Z</cp:lastPrinted>
  <dcterms:created xsi:type="dcterms:W3CDTF">2025-04-26T20:49:00Z</dcterms:created>
  <dcterms:modified xsi:type="dcterms:W3CDTF">2025-08-15T15:51:00Z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